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B4" w:rsidRDefault="005C42B4" w:rsidP="005C42B4">
      <w:pPr>
        <w:ind w:right="197"/>
        <w:jc w:val="center"/>
        <w:rPr>
          <w:rFonts w:ascii="Arial" w:hAnsi="Arial" w:cs="Arial"/>
          <w:b/>
        </w:rPr>
      </w:pPr>
      <w:bookmarkStart w:id="0" w:name="_GoBack"/>
      <w:bookmarkEnd w:id="0"/>
      <w:r w:rsidRPr="00AD0A99">
        <w:rPr>
          <w:rFonts w:ascii="Arial" w:hAnsi="Arial" w:cs="Arial"/>
          <w:b/>
        </w:rPr>
        <w:t xml:space="preserve">Co-Leadership </w:t>
      </w:r>
      <w:r>
        <w:rPr>
          <w:rFonts w:ascii="Arial" w:hAnsi="Arial" w:cs="Arial"/>
          <w:b/>
        </w:rPr>
        <w:t xml:space="preserve">Safety and </w:t>
      </w:r>
      <w:r w:rsidRPr="00AD0A99">
        <w:rPr>
          <w:rFonts w:ascii="Arial" w:hAnsi="Arial" w:cs="Arial"/>
          <w:b/>
        </w:rPr>
        <w:t xml:space="preserve">Quality </w:t>
      </w:r>
      <w:r>
        <w:rPr>
          <w:rFonts w:ascii="Arial" w:hAnsi="Arial" w:cs="Arial"/>
          <w:b/>
        </w:rPr>
        <w:t>Mental Health (</w:t>
      </w:r>
      <w:r w:rsidRPr="00FB7635">
        <w:rPr>
          <w:rFonts w:ascii="Arial" w:hAnsi="Arial" w:cs="Arial"/>
          <w:b/>
        </w:rPr>
        <w:t>C</w:t>
      </w:r>
      <w:r>
        <w:rPr>
          <w:rFonts w:ascii="Arial" w:hAnsi="Arial" w:cs="Arial"/>
          <w:b/>
        </w:rPr>
        <w:t xml:space="preserve">SQMH) </w:t>
      </w:r>
    </w:p>
    <w:p w:rsidR="005C42B4" w:rsidRPr="00AD0A99" w:rsidRDefault="005C42B4" w:rsidP="005C42B4">
      <w:pPr>
        <w:ind w:right="197"/>
        <w:jc w:val="center"/>
        <w:rPr>
          <w:rFonts w:ascii="Arial" w:hAnsi="Arial" w:cs="Arial"/>
          <w:b/>
        </w:rPr>
      </w:pPr>
      <w:r w:rsidRPr="00AD0A99">
        <w:rPr>
          <w:rFonts w:ascii="Arial" w:hAnsi="Arial" w:cs="Arial"/>
          <w:b/>
        </w:rPr>
        <w:t>Steering Group</w:t>
      </w:r>
    </w:p>
    <w:p w:rsidR="005C42B4" w:rsidRDefault="005C42B4" w:rsidP="005C42B4">
      <w:pPr>
        <w:ind w:right="197"/>
        <w:jc w:val="center"/>
        <w:rPr>
          <w:rFonts w:ascii="Arial" w:hAnsi="Arial" w:cs="Arial"/>
          <w:b/>
        </w:rPr>
      </w:pPr>
    </w:p>
    <w:p w:rsidR="005C42B4" w:rsidRPr="00AD0A99" w:rsidRDefault="005C42B4" w:rsidP="005C42B4">
      <w:pPr>
        <w:ind w:right="197"/>
        <w:jc w:val="center"/>
        <w:rPr>
          <w:rFonts w:ascii="Arial" w:hAnsi="Arial" w:cs="Arial"/>
        </w:rPr>
      </w:pPr>
      <w:r w:rsidRPr="00AD0A99">
        <w:rPr>
          <w:rFonts w:ascii="Arial" w:hAnsi="Arial" w:cs="Arial"/>
          <w:b/>
        </w:rPr>
        <w:t xml:space="preserve">Terms </w:t>
      </w:r>
      <w:r>
        <w:rPr>
          <w:rFonts w:ascii="Arial" w:hAnsi="Arial" w:cs="Arial"/>
          <w:b/>
        </w:rPr>
        <w:t>o</w:t>
      </w:r>
      <w:r w:rsidRPr="00AD0A99">
        <w:rPr>
          <w:rFonts w:ascii="Arial" w:hAnsi="Arial" w:cs="Arial"/>
          <w:b/>
        </w:rPr>
        <w:t>f Reference</w:t>
      </w:r>
    </w:p>
    <w:p w:rsidR="005C42B4" w:rsidRPr="00AD0A99" w:rsidRDefault="005C42B4" w:rsidP="005C42B4">
      <w:pPr>
        <w:pStyle w:val="NormalB"/>
        <w:spacing w:after="120"/>
        <w:ind w:right="197"/>
        <w:rPr>
          <w:rFonts w:ascii="Arial" w:hAnsi="Arial" w:cs="Arial"/>
          <w:sz w:val="24"/>
        </w:rPr>
      </w:pPr>
    </w:p>
    <w:p w:rsidR="005C42B4" w:rsidRPr="00AD0A99" w:rsidRDefault="005C42B4" w:rsidP="005C42B4">
      <w:pPr>
        <w:pStyle w:val="NormalB"/>
        <w:numPr>
          <w:ilvl w:val="0"/>
          <w:numId w:val="8"/>
        </w:numPr>
        <w:spacing w:after="120"/>
        <w:ind w:right="197"/>
        <w:rPr>
          <w:rFonts w:ascii="Arial" w:hAnsi="Arial" w:cs="Arial"/>
          <w:sz w:val="24"/>
        </w:rPr>
      </w:pPr>
      <w:r w:rsidRPr="00AD0A99">
        <w:rPr>
          <w:rFonts w:ascii="Arial" w:hAnsi="Arial" w:cs="Arial"/>
          <w:sz w:val="24"/>
        </w:rPr>
        <w:t>Purpose</w:t>
      </w:r>
    </w:p>
    <w:p w:rsidR="005C42B4" w:rsidRDefault="005C42B4" w:rsidP="005C42B4">
      <w:pPr>
        <w:spacing w:after="120"/>
        <w:ind w:right="197"/>
        <w:jc w:val="both"/>
        <w:rPr>
          <w:rFonts w:ascii="Arial" w:hAnsi="Arial" w:cs="Arial"/>
        </w:rPr>
      </w:pPr>
      <w:r>
        <w:rPr>
          <w:rFonts w:ascii="Arial" w:hAnsi="Arial" w:cs="Arial"/>
        </w:rPr>
        <w:t>The Co-Leadership Safety and Quality Mental Health Steering Group is comprised of representatives from the Mental Health Commission (MHC), the Department of Health (DoH), the Office of the Chief Psychiatrist (OCP) and Health Service Providers (HSPs) for the purpose of:</w:t>
      </w:r>
    </w:p>
    <w:p w:rsidR="005C42B4" w:rsidRDefault="005C42B4" w:rsidP="005C42B4">
      <w:pPr>
        <w:numPr>
          <w:ilvl w:val="0"/>
          <w:numId w:val="4"/>
        </w:numPr>
        <w:spacing w:after="120"/>
        <w:ind w:right="197"/>
        <w:jc w:val="both"/>
        <w:rPr>
          <w:rFonts w:ascii="Arial" w:hAnsi="Arial" w:cs="Arial"/>
        </w:rPr>
      </w:pPr>
      <w:r>
        <w:rPr>
          <w:rFonts w:ascii="Arial" w:hAnsi="Arial" w:cs="Arial"/>
        </w:rPr>
        <w:t>Providing a coordinating function for the governance of safety and quality in publically funded mental health services in WA;</w:t>
      </w:r>
    </w:p>
    <w:p w:rsidR="005C42B4" w:rsidRDefault="005C42B4" w:rsidP="005C42B4">
      <w:pPr>
        <w:pStyle w:val="ListBullet"/>
        <w:numPr>
          <w:ilvl w:val="0"/>
          <w:numId w:val="4"/>
        </w:numPr>
        <w:spacing w:after="120"/>
        <w:ind w:right="197"/>
        <w:jc w:val="both"/>
        <w:rPr>
          <w:rFonts w:ascii="Arial" w:hAnsi="Arial" w:cs="Arial"/>
          <w:szCs w:val="24"/>
        </w:rPr>
      </w:pPr>
      <w:r>
        <w:rPr>
          <w:rFonts w:ascii="Arial" w:hAnsi="Arial" w:cs="Arial"/>
          <w:szCs w:val="24"/>
        </w:rPr>
        <w:t>Facilitating shared understanding of an integrated and comprehensive safety and quality governance system across mental health services;</w:t>
      </w:r>
    </w:p>
    <w:p w:rsidR="005C42B4" w:rsidRDefault="005C42B4" w:rsidP="005C42B4">
      <w:pPr>
        <w:numPr>
          <w:ilvl w:val="0"/>
          <w:numId w:val="4"/>
        </w:numPr>
        <w:spacing w:after="120"/>
        <w:ind w:right="197"/>
        <w:jc w:val="both"/>
        <w:rPr>
          <w:rFonts w:ascii="Arial" w:hAnsi="Arial" w:cs="Arial"/>
        </w:rPr>
      </w:pPr>
      <w:r>
        <w:rPr>
          <w:rFonts w:ascii="Arial" w:hAnsi="Arial" w:cs="Arial"/>
        </w:rPr>
        <w:t xml:space="preserve">Strengthening collaboration, partnerships and communications among the different agencies to ensure effective responses to safety and quality issues in publically funded mental health services;   </w:t>
      </w:r>
    </w:p>
    <w:p w:rsidR="005C42B4" w:rsidRDefault="005C42B4" w:rsidP="005C42B4">
      <w:pPr>
        <w:numPr>
          <w:ilvl w:val="0"/>
          <w:numId w:val="4"/>
        </w:numPr>
        <w:spacing w:after="120"/>
        <w:ind w:right="197"/>
        <w:jc w:val="both"/>
        <w:rPr>
          <w:rFonts w:ascii="Arial" w:hAnsi="Arial" w:cs="Arial"/>
        </w:rPr>
      </w:pPr>
      <w:r>
        <w:rPr>
          <w:rFonts w:ascii="Arial" w:hAnsi="Arial" w:cs="Arial"/>
        </w:rPr>
        <w:t xml:space="preserve">Building on existing </w:t>
      </w:r>
      <w:r w:rsidRPr="00AD0A99">
        <w:rPr>
          <w:rFonts w:ascii="Arial" w:hAnsi="Arial" w:cs="Arial"/>
        </w:rPr>
        <w:t>standards</w:t>
      </w:r>
      <w:r>
        <w:rPr>
          <w:rStyle w:val="FootnoteReference"/>
          <w:rFonts w:ascii="Arial" w:hAnsi="Arial" w:cs="Arial"/>
        </w:rPr>
        <w:footnoteReference w:id="1"/>
      </w:r>
      <w:r>
        <w:rPr>
          <w:rFonts w:ascii="Arial" w:hAnsi="Arial" w:cs="Arial"/>
        </w:rPr>
        <w:t xml:space="preserve"> </w:t>
      </w:r>
      <w:r w:rsidRPr="00AD0A99">
        <w:rPr>
          <w:rFonts w:ascii="Arial" w:hAnsi="Arial" w:cs="Arial"/>
        </w:rPr>
        <w:t>for accreditation</w:t>
      </w:r>
      <w:r>
        <w:rPr>
          <w:rFonts w:ascii="Arial" w:hAnsi="Arial" w:cs="Arial"/>
        </w:rPr>
        <w:t xml:space="preserve"> and licensing </w:t>
      </w:r>
      <w:r w:rsidRPr="00AD0A99">
        <w:rPr>
          <w:rFonts w:ascii="Arial" w:hAnsi="Arial" w:cs="Arial"/>
        </w:rPr>
        <w:t>and improv</w:t>
      </w:r>
      <w:r>
        <w:rPr>
          <w:rFonts w:ascii="Arial" w:hAnsi="Arial" w:cs="Arial"/>
        </w:rPr>
        <w:t>ing</w:t>
      </w:r>
      <w:r w:rsidRPr="00AD0A99">
        <w:rPr>
          <w:rFonts w:ascii="Arial" w:hAnsi="Arial" w:cs="Arial"/>
        </w:rPr>
        <w:t xml:space="preserve"> the implementation of </w:t>
      </w:r>
      <w:r>
        <w:rPr>
          <w:rFonts w:ascii="Arial" w:hAnsi="Arial" w:cs="Arial"/>
        </w:rPr>
        <w:t>associated</w:t>
      </w:r>
      <w:r w:rsidRPr="00AD0A99">
        <w:rPr>
          <w:rFonts w:ascii="Arial" w:hAnsi="Arial" w:cs="Arial"/>
        </w:rPr>
        <w:t xml:space="preserve"> processes</w:t>
      </w:r>
      <w:r>
        <w:rPr>
          <w:rFonts w:ascii="Arial" w:hAnsi="Arial" w:cs="Arial"/>
        </w:rPr>
        <w:t>; and</w:t>
      </w:r>
    </w:p>
    <w:p w:rsidR="005C42B4" w:rsidRDefault="005C42B4" w:rsidP="005C42B4">
      <w:pPr>
        <w:numPr>
          <w:ilvl w:val="0"/>
          <w:numId w:val="4"/>
        </w:numPr>
        <w:spacing w:after="120"/>
        <w:ind w:right="197"/>
        <w:jc w:val="both"/>
        <w:rPr>
          <w:rFonts w:ascii="Arial" w:hAnsi="Arial" w:cs="Arial"/>
        </w:rPr>
      </w:pPr>
      <w:r>
        <w:rPr>
          <w:rFonts w:ascii="Arial" w:hAnsi="Arial" w:cs="Arial"/>
        </w:rPr>
        <w:t>Reducing duplication and streamlining safety and quality processes in mental health services.</w:t>
      </w:r>
    </w:p>
    <w:p w:rsidR="005C42B4" w:rsidRPr="00F1262E" w:rsidRDefault="005C42B4" w:rsidP="005C42B4">
      <w:pPr>
        <w:ind w:left="720" w:right="198"/>
        <w:jc w:val="both"/>
        <w:rPr>
          <w:rFonts w:ascii="Arial" w:hAnsi="Arial" w:cs="Arial"/>
        </w:rPr>
      </w:pPr>
    </w:p>
    <w:p w:rsidR="005C42B4" w:rsidRPr="00AD0A99" w:rsidRDefault="005C42B4" w:rsidP="005C42B4">
      <w:pPr>
        <w:pStyle w:val="NormalB"/>
        <w:numPr>
          <w:ilvl w:val="0"/>
          <w:numId w:val="8"/>
        </w:numPr>
        <w:spacing w:after="120"/>
        <w:ind w:right="197"/>
        <w:rPr>
          <w:rFonts w:ascii="Arial" w:hAnsi="Arial" w:cs="Arial"/>
          <w:sz w:val="24"/>
        </w:rPr>
      </w:pPr>
      <w:r w:rsidRPr="00AD0A99">
        <w:rPr>
          <w:rFonts w:ascii="Arial" w:hAnsi="Arial" w:cs="Arial"/>
          <w:sz w:val="24"/>
        </w:rPr>
        <w:t>Accountability</w:t>
      </w:r>
      <w:r>
        <w:rPr>
          <w:rFonts w:ascii="Arial" w:hAnsi="Arial" w:cs="Arial"/>
          <w:sz w:val="24"/>
        </w:rPr>
        <w:t xml:space="preserve"> and reporting </w:t>
      </w:r>
    </w:p>
    <w:p w:rsidR="005C42B4" w:rsidRDefault="005C42B4" w:rsidP="005C42B4">
      <w:pPr>
        <w:pStyle w:val="ListBullet"/>
        <w:numPr>
          <w:ilvl w:val="0"/>
          <w:numId w:val="0"/>
        </w:numPr>
        <w:tabs>
          <w:tab w:val="left" w:pos="720"/>
        </w:tabs>
        <w:spacing w:after="120"/>
        <w:ind w:right="197"/>
        <w:jc w:val="both"/>
        <w:rPr>
          <w:rFonts w:ascii="Arial" w:hAnsi="Arial" w:cs="Arial"/>
          <w:szCs w:val="24"/>
        </w:rPr>
      </w:pPr>
      <w:r>
        <w:rPr>
          <w:rFonts w:ascii="Arial" w:hAnsi="Arial" w:cs="Arial"/>
          <w:szCs w:val="24"/>
        </w:rPr>
        <w:t>The Steering Group is accountable to the Commissioner, MHC and the Director General, DoH. The Steering Group will report to and provide an advisory role to the Commissioner and Director General as required on:</w:t>
      </w:r>
    </w:p>
    <w:p w:rsidR="005C42B4"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Any actions or outcomes relating to safety and quality that will have an impact on mental health patients / consumers and their family/carers and the service agreements currently in place between the MHC and DoH/HSPs, as well as between the MHC and NGOs, including licensed private psychiatric hostels;</w:t>
      </w:r>
    </w:p>
    <w:p w:rsidR="005C42B4" w:rsidRDefault="005C42B4" w:rsidP="005C42B4">
      <w:pPr>
        <w:pStyle w:val="ListBullet"/>
        <w:numPr>
          <w:ilvl w:val="0"/>
          <w:numId w:val="5"/>
        </w:numPr>
        <w:spacing w:after="120"/>
        <w:ind w:right="197"/>
        <w:jc w:val="both"/>
        <w:rPr>
          <w:rFonts w:ascii="Arial" w:hAnsi="Arial" w:cs="Arial"/>
          <w:szCs w:val="24"/>
        </w:rPr>
      </w:pPr>
      <w:r w:rsidRPr="00722AB7">
        <w:rPr>
          <w:rFonts w:ascii="Arial" w:hAnsi="Arial" w:cs="Arial"/>
          <w:szCs w:val="24"/>
        </w:rPr>
        <w:t xml:space="preserve">Any actions or outcomes that relate to the implementation of </w:t>
      </w:r>
      <w:r>
        <w:rPr>
          <w:rFonts w:ascii="Arial" w:hAnsi="Arial" w:cs="Arial"/>
          <w:szCs w:val="24"/>
        </w:rPr>
        <w:t xml:space="preserve">relevant legislation / Acts (eg </w:t>
      </w:r>
      <w:r w:rsidRPr="00722AB7">
        <w:rPr>
          <w:rFonts w:ascii="Arial" w:hAnsi="Arial" w:cs="Arial"/>
          <w:szCs w:val="24"/>
        </w:rPr>
        <w:t xml:space="preserve">the </w:t>
      </w:r>
      <w:r w:rsidRPr="00722AB7">
        <w:rPr>
          <w:rFonts w:ascii="Arial" w:hAnsi="Arial" w:cs="Arial"/>
          <w:i/>
          <w:szCs w:val="24"/>
        </w:rPr>
        <w:t>Mental Health Act 2014</w:t>
      </w:r>
      <w:r>
        <w:rPr>
          <w:rFonts w:ascii="Arial" w:hAnsi="Arial" w:cs="Arial"/>
          <w:i/>
          <w:szCs w:val="24"/>
        </w:rPr>
        <w:t>; Health Services Act 2016)</w:t>
      </w:r>
      <w:r>
        <w:rPr>
          <w:rFonts w:ascii="Arial" w:hAnsi="Arial" w:cs="Arial"/>
          <w:szCs w:val="24"/>
        </w:rPr>
        <w:t>; and</w:t>
      </w:r>
    </w:p>
    <w:p w:rsidR="005C42B4" w:rsidRPr="00155199"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Any other actions or outcomes that relate to safety and quality processes deemed a</w:t>
      </w:r>
      <w:r w:rsidR="00207C5A">
        <w:rPr>
          <w:rFonts w:ascii="Arial" w:hAnsi="Arial" w:cs="Arial"/>
          <w:szCs w:val="24"/>
        </w:rPr>
        <w:t xml:space="preserve">ppropriate by the DG Health, </w:t>
      </w:r>
      <w:r>
        <w:rPr>
          <w:rFonts w:ascii="Arial" w:hAnsi="Arial" w:cs="Arial"/>
          <w:szCs w:val="24"/>
        </w:rPr>
        <w:t>Commissioner MHC</w:t>
      </w:r>
      <w:r w:rsidR="00207C5A">
        <w:rPr>
          <w:rFonts w:ascii="Arial" w:hAnsi="Arial" w:cs="Arial"/>
          <w:szCs w:val="24"/>
        </w:rPr>
        <w:t xml:space="preserve"> or </w:t>
      </w:r>
      <w:r w:rsidR="00207C5A" w:rsidRPr="00155199">
        <w:rPr>
          <w:rFonts w:ascii="Arial" w:hAnsi="Arial" w:cs="Arial"/>
          <w:szCs w:val="24"/>
        </w:rPr>
        <w:t>Chief Psychiatrist</w:t>
      </w:r>
      <w:r w:rsidRPr="00155199">
        <w:rPr>
          <w:rFonts w:ascii="Arial" w:hAnsi="Arial" w:cs="Arial"/>
          <w:szCs w:val="24"/>
        </w:rPr>
        <w:t>;</w:t>
      </w:r>
    </w:p>
    <w:p w:rsidR="005C42B4"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 xml:space="preserve">Where agents have specific statutory functions, these cannot be overridden by the Steering Group; </w:t>
      </w:r>
    </w:p>
    <w:p w:rsidR="005C42B4" w:rsidRPr="00722AB7"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 xml:space="preserve">Members are responsible for representing their agency and ensuring ongoing communications with relevant stakeholders in their respective agencies on the advice and activities of the Steering Group. </w:t>
      </w:r>
    </w:p>
    <w:p w:rsidR="005C42B4" w:rsidRPr="00AD0A99" w:rsidRDefault="005C42B4" w:rsidP="005C42B4">
      <w:pPr>
        <w:pStyle w:val="ListBullet"/>
        <w:numPr>
          <w:ilvl w:val="0"/>
          <w:numId w:val="0"/>
        </w:numPr>
        <w:tabs>
          <w:tab w:val="left" w:pos="720"/>
        </w:tabs>
        <w:spacing w:after="120"/>
        <w:ind w:left="720" w:right="197"/>
        <w:jc w:val="both"/>
        <w:rPr>
          <w:rFonts w:ascii="Arial" w:hAnsi="Arial" w:cs="Arial"/>
          <w:szCs w:val="24"/>
        </w:rPr>
      </w:pPr>
      <w:r>
        <w:rPr>
          <w:rFonts w:ascii="Arial" w:hAnsi="Arial" w:cs="Arial"/>
          <w:szCs w:val="24"/>
        </w:rPr>
        <w:t xml:space="preserve"> </w:t>
      </w:r>
    </w:p>
    <w:p w:rsidR="005C42B4" w:rsidRDefault="005C42B4" w:rsidP="005C42B4">
      <w:pPr>
        <w:pStyle w:val="NormalB"/>
        <w:numPr>
          <w:ilvl w:val="0"/>
          <w:numId w:val="8"/>
        </w:numPr>
        <w:spacing w:after="120"/>
        <w:ind w:right="197"/>
        <w:rPr>
          <w:rFonts w:ascii="Arial" w:hAnsi="Arial" w:cs="Arial"/>
          <w:sz w:val="24"/>
        </w:rPr>
      </w:pPr>
      <w:r w:rsidRPr="00AD0A99">
        <w:rPr>
          <w:rFonts w:ascii="Arial" w:hAnsi="Arial" w:cs="Arial"/>
          <w:sz w:val="24"/>
        </w:rPr>
        <w:lastRenderedPageBreak/>
        <w:t>Functions and Responsibilities</w:t>
      </w:r>
    </w:p>
    <w:p w:rsidR="005C42B4" w:rsidRPr="00966FCC" w:rsidRDefault="005C42B4" w:rsidP="005C42B4">
      <w:pPr>
        <w:pStyle w:val="NormalB"/>
        <w:spacing w:after="120"/>
        <w:ind w:right="197"/>
        <w:rPr>
          <w:rFonts w:ascii="Arial" w:hAnsi="Arial" w:cs="Arial"/>
          <w:b w:val="0"/>
          <w:sz w:val="24"/>
        </w:rPr>
      </w:pPr>
      <w:r w:rsidRPr="00966FCC">
        <w:rPr>
          <w:rFonts w:ascii="Arial" w:hAnsi="Arial" w:cs="Arial"/>
          <w:b w:val="0"/>
          <w:sz w:val="24"/>
        </w:rPr>
        <w:t xml:space="preserve">The </w:t>
      </w:r>
      <w:r>
        <w:rPr>
          <w:rFonts w:ascii="Arial" w:hAnsi="Arial" w:cs="Arial"/>
          <w:b w:val="0"/>
          <w:sz w:val="24"/>
        </w:rPr>
        <w:t>Steering Group’s</w:t>
      </w:r>
      <w:r w:rsidRPr="00966FCC">
        <w:rPr>
          <w:rFonts w:ascii="Arial" w:hAnsi="Arial" w:cs="Arial"/>
          <w:b w:val="0"/>
          <w:sz w:val="24"/>
        </w:rPr>
        <w:t xml:space="preserve"> functions and responsibilities are to:</w:t>
      </w:r>
    </w:p>
    <w:p w:rsidR="005C42B4"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 xml:space="preserve">Coordinate a safety and quality governance strategy across all publically funded mental health services; </w:t>
      </w:r>
    </w:p>
    <w:p w:rsidR="005C42B4"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D</w:t>
      </w:r>
      <w:r w:rsidRPr="00722AB7">
        <w:rPr>
          <w:rFonts w:ascii="Arial" w:hAnsi="Arial" w:cs="Arial"/>
          <w:szCs w:val="24"/>
        </w:rPr>
        <w:t xml:space="preserve">evelop pathways and specifications for </w:t>
      </w:r>
      <w:r>
        <w:rPr>
          <w:rFonts w:ascii="Arial" w:hAnsi="Arial" w:cs="Arial"/>
          <w:szCs w:val="24"/>
        </w:rPr>
        <w:t>acquiring and sharing</w:t>
      </w:r>
      <w:r w:rsidRPr="00722AB7">
        <w:rPr>
          <w:rFonts w:ascii="Arial" w:hAnsi="Arial" w:cs="Arial"/>
          <w:szCs w:val="24"/>
        </w:rPr>
        <w:t xml:space="preserve"> </w:t>
      </w:r>
      <w:r>
        <w:rPr>
          <w:rFonts w:ascii="Arial" w:hAnsi="Arial" w:cs="Arial"/>
          <w:szCs w:val="24"/>
        </w:rPr>
        <w:t xml:space="preserve">relevant data (eg Notifiable Incidents; complaints regarding mental health service delivery) relating to safety and quality issues arising from publically funded mental health services; </w:t>
      </w:r>
    </w:p>
    <w:p w:rsidR="005C42B4" w:rsidRPr="008F74D6"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 xml:space="preserve">Identify and monitor key </w:t>
      </w:r>
      <w:r w:rsidRPr="008F74D6">
        <w:rPr>
          <w:rFonts w:ascii="Arial" w:hAnsi="Arial" w:cs="Arial"/>
          <w:szCs w:val="24"/>
        </w:rPr>
        <w:t xml:space="preserve">safety and quality </w:t>
      </w:r>
      <w:r>
        <w:rPr>
          <w:rFonts w:ascii="Arial" w:hAnsi="Arial" w:cs="Arial"/>
          <w:szCs w:val="24"/>
        </w:rPr>
        <w:t xml:space="preserve">issues and outcomes arising from accreditation processes for publically mental health services </w:t>
      </w:r>
      <w:r w:rsidRPr="00FB0742">
        <w:rPr>
          <w:rFonts w:ascii="Arial" w:hAnsi="Arial" w:cs="Arial"/>
          <w:szCs w:val="24"/>
        </w:rPr>
        <w:t xml:space="preserve">against the </w:t>
      </w:r>
      <w:r>
        <w:rPr>
          <w:rFonts w:ascii="Arial" w:hAnsi="Arial" w:cs="Arial"/>
          <w:szCs w:val="24"/>
        </w:rPr>
        <w:t xml:space="preserve">National Safety and Quality Health Service Standards and/or the </w:t>
      </w:r>
      <w:r w:rsidRPr="00FB0742">
        <w:rPr>
          <w:rFonts w:ascii="Arial" w:hAnsi="Arial" w:cs="Arial"/>
          <w:szCs w:val="24"/>
        </w:rPr>
        <w:t>National Standards for Mental Health Services</w:t>
      </w:r>
      <w:r>
        <w:rPr>
          <w:rFonts w:ascii="Arial" w:hAnsi="Arial" w:cs="Arial"/>
          <w:szCs w:val="24"/>
        </w:rPr>
        <w:t>, to identify any trends and advise on improvement</w:t>
      </w:r>
      <w:r w:rsidRPr="008F74D6">
        <w:rPr>
          <w:rFonts w:ascii="Arial" w:hAnsi="Arial" w:cs="Arial"/>
          <w:szCs w:val="24"/>
        </w:rPr>
        <w:t>/</w:t>
      </w:r>
      <w:r>
        <w:rPr>
          <w:rFonts w:ascii="Arial" w:hAnsi="Arial" w:cs="Arial"/>
          <w:szCs w:val="24"/>
        </w:rPr>
        <w:t xml:space="preserve">mitigation actions </w:t>
      </w:r>
      <w:r w:rsidRPr="008F74D6">
        <w:rPr>
          <w:rFonts w:ascii="Arial" w:hAnsi="Arial" w:cs="Arial"/>
          <w:szCs w:val="24"/>
        </w:rPr>
        <w:t xml:space="preserve">needed to all involved stakeholders; </w:t>
      </w:r>
    </w:p>
    <w:p w:rsidR="005C42B4" w:rsidRDefault="005C42B4" w:rsidP="005C42B4">
      <w:pPr>
        <w:pStyle w:val="ListBullet"/>
        <w:numPr>
          <w:ilvl w:val="0"/>
          <w:numId w:val="5"/>
        </w:numPr>
        <w:spacing w:after="120"/>
        <w:ind w:right="197"/>
        <w:jc w:val="both"/>
        <w:rPr>
          <w:rFonts w:ascii="Arial" w:hAnsi="Arial" w:cs="Arial"/>
        </w:rPr>
      </w:pPr>
      <w:r>
        <w:rPr>
          <w:rFonts w:ascii="Arial" w:hAnsi="Arial" w:cs="Arial"/>
          <w:szCs w:val="24"/>
        </w:rPr>
        <w:t>M</w:t>
      </w:r>
      <w:r w:rsidRPr="00E27B11">
        <w:rPr>
          <w:rFonts w:ascii="Arial" w:hAnsi="Arial" w:cs="Arial"/>
          <w:szCs w:val="24"/>
        </w:rPr>
        <w:t>onitor</w:t>
      </w:r>
      <w:r w:rsidRPr="00966FCC">
        <w:rPr>
          <w:rFonts w:ascii="Arial" w:hAnsi="Arial" w:cs="Arial"/>
        </w:rPr>
        <w:t xml:space="preserve"> and review relevant </w:t>
      </w:r>
      <w:r>
        <w:rPr>
          <w:rFonts w:ascii="Arial" w:hAnsi="Arial" w:cs="Arial"/>
        </w:rPr>
        <w:t xml:space="preserve">system-wide </w:t>
      </w:r>
      <w:r w:rsidRPr="00966FCC">
        <w:rPr>
          <w:rFonts w:ascii="Arial" w:hAnsi="Arial" w:cs="Arial"/>
        </w:rPr>
        <w:t>risk</w:t>
      </w:r>
      <w:r>
        <w:rPr>
          <w:rFonts w:ascii="Arial" w:hAnsi="Arial" w:cs="Arial"/>
        </w:rPr>
        <w:t xml:space="preserve"> processes</w:t>
      </w:r>
      <w:r w:rsidRPr="00966FCC">
        <w:rPr>
          <w:rFonts w:ascii="Arial" w:hAnsi="Arial" w:cs="Arial"/>
        </w:rPr>
        <w:t xml:space="preserve"> ensuring appropriate controls and treatments are </w:t>
      </w:r>
      <w:r>
        <w:rPr>
          <w:rFonts w:ascii="Arial" w:hAnsi="Arial" w:cs="Arial"/>
        </w:rPr>
        <w:t xml:space="preserve">in place for identified risks; </w:t>
      </w:r>
    </w:p>
    <w:p w:rsidR="005C42B4" w:rsidRPr="00FB0742"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 xml:space="preserve">Advise on overarching safety and quality policies and procedures that govern/impact on publically funded mental health services to ensure consistency/alignment; </w:t>
      </w:r>
    </w:p>
    <w:p w:rsidR="005C42B4" w:rsidRDefault="005C42B4" w:rsidP="005C42B4">
      <w:pPr>
        <w:pStyle w:val="ListBullet"/>
        <w:numPr>
          <w:ilvl w:val="0"/>
          <w:numId w:val="5"/>
        </w:numPr>
        <w:spacing w:after="120"/>
        <w:ind w:right="197"/>
        <w:jc w:val="both"/>
        <w:rPr>
          <w:rFonts w:ascii="Arial" w:hAnsi="Arial" w:cs="Arial"/>
        </w:rPr>
      </w:pPr>
      <w:r w:rsidRPr="00E27B11">
        <w:rPr>
          <w:rFonts w:ascii="Arial" w:hAnsi="Arial" w:cs="Arial"/>
          <w:szCs w:val="24"/>
        </w:rPr>
        <w:t>Ensure</w:t>
      </w:r>
      <w:r w:rsidRPr="00966FCC">
        <w:rPr>
          <w:rFonts w:ascii="Arial" w:hAnsi="Arial" w:cs="Arial"/>
        </w:rPr>
        <w:t xml:space="preserve"> that </w:t>
      </w:r>
      <w:r>
        <w:rPr>
          <w:rFonts w:ascii="Arial" w:hAnsi="Arial" w:cs="Arial"/>
        </w:rPr>
        <w:t>any safety and quality priorities resulting from the 5</w:t>
      </w:r>
      <w:r w:rsidRPr="00554D34">
        <w:rPr>
          <w:rFonts w:ascii="Arial" w:hAnsi="Arial" w:cs="Arial"/>
          <w:vertAlign w:val="superscript"/>
        </w:rPr>
        <w:t>th</w:t>
      </w:r>
      <w:r>
        <w:rPr>
          <w:rFonts w:ascii="Arial" w:hAnsi="Arial" w:cs="Arial"/>
        </w:rPr>
        <w:t xml:space="preserve"> National Mental Health Plan, changes to psychiatric care, accreditation standards and/or licensing processes</w:t>
      </w:r>
      <w:r w:rsidRPr="00966FCC">
        <w:rPr>
          <w:rFonts w:ascii="Arial" w:hAnsi="Arial" w:cs="Arial"/>
        </w:rPr>
        <w:t xml:space="preserve"> are communicated appropriate</w:t>
      </w:r>
      <w:r>
        <w:rPr>
          <w:rFonts w:ascii="Arial" w:hAnsi="Arial" w:cs="Arial"/>
        </w:rPr>
        <w:t>ly to all involved stakeholders; and monitor actions taken to address changes as appropriate;</w:t>
      </w:r>
      <w:r w:rsidRPr="00966FCC">
        <w:rPr>
          <w:rFonts w:ascii="Arial" w:hAnsi="Arial" w:cs="Arial"/>
        </w:rPr>
        <w:t xml:space="preserve"> </w:t>
      </w:r>
    </w:p>
    <w:p w:rsidR="005C42B4" w:rsidRPr="00966FCC" w:rsidRDefault="005C42B4" w:rsidP="005C42B4">
      <w:pPr>
        <w:pStyle w:val="ListBullet"/>
        <w:numPr>
          <w:ilvl w:val="0"/>
          <w:numId w:val="5"/>
        </w:numPr>
        <w:spacing w:after="120"/>
        <w:ind w:right="197"/>
        <w:jc w:val="both"/>
        <w:rPr>
          <w:rFonts w:ascii="Arial" w:hAnsi="Arial" w:cs="Arial"/>
        </w:rPr>
      </w:pPr>
      <w:r>
        <w:rPr>
          <w:rFonts w:ascii="Arial" w:hAnsi="Arial" w:cs="Arial"/>
        </w:rPr>
        <w:t xml:space="preserve">Identify and minimise duplication of processes to address safety and quality issues where possible; identify and monitor areas where necessary attention is required to prevent issues/risks ‘falling through the cracks’; </w:t>
      </w:r>
    </w:p>
    <w:p w:rsidR="005C42B4" w:rsidRDefault="005C42B4" w:rsidP="005C42B4">
      <w:pPr>
        <w:pStyle w:val="ListBullet"/>
        <w:numPr>
          <w:ilvl w:val="0"/>
          <w:numId w:val="5"/>
        </w:numPr>
        <w:spacing w:after="120"/>
        <w:ind w:right="197"/>
        <w:jc w:val="both"/>
        <w:rPr>
          <w:rFonts w:ascii="Arial" w:hAnsi="Arial" w:cs="Arial"/>
          <w:szCs w:val="24"/>
        </w:rPr>
      </w:pPr>
      <w:r>
        <w:rPr>
          <w:rFonts w:ascii="Arial" w:hAnsi="Arial" w:cs="Arial"/>
          <w:szCs w:val="24"/>
        </w:rPr>
        <w:t>Where relevant, contribute to reviews/amendments of related legislation, standards and policies including</w:t>
      </w:r>
      <w:r w:rsidR="00D92096">
        <w:rPr>
          <w:rFonts w:ascii="Arial" w:hAnsi="Arial" w:cs="Arial"/>
          <w:szCs w:val="24"/>
        </w:rPr>
        <w:t xml:space="preserve"> but not limited to</w:t>
      </w:r>
      <w:r>
        <w:rPr>
          <w:rFonts w:ascii="Arial" w:hAnsi="Arial" w:cs="Arial"/>
          <w:szCs w:val="24"/>
        </w:rPr>
        <w:t>:</w:t>
      </w:r>
    </w:p>
    <w:p w:rsidR="005C42B4" w:rsidRPr="0028543B" w:rsidRDefault="005C42B4" w:rsidP="005C42B4">
      <w:pPr>
        <w:pStyle w:val="ListParagraph"/>
        <w:numPr>
          <w:ilvl w:val="1"/>
          <w:numId w:val="5"/>
        </w:numPr>
        <w:ind w:left="709" w:right="197" w:hanging="283"/>
        <w:jc w:val="both"/>
        <w:rPr>
          <w:rFonts w:ascii="Arial" w:hAnsi="Arial" w:cs="Arial"/>
          <w:i/>
        </w:rPr>
      </w:pPr>
      <w:r w:rsidRPr="0028543B">
        <w:rPr>
          <w:rFonts w:ascii="Arial" w:hAnsi="Arial" w:cs="Arial"/>
          <w:i/>
        </w:rPr>
        <w:t>Mental Health Act 2014</w:t>
      </w:r>
    </w:p>
    <w:p w:rsidR="005C42B4" w:rsidRPr="0028543B" w:rsidRDefault="005C42B4" w:rsidP="005C42B4">
      <w:pPr>
        <w:pStyle w:val="ListParagraph"/>
        <w:numPr>
          <w:ilvl w:val="1"/>
          <w:numId w:val="5"/>
        </w:numPr>
        <w:spacing w:after="120"/>
        <w:ind w:left="709" w:right="197" w:hanging="283"/>
        <w:jc w:val="both"/>
        <w:rPr>
          <w:rFonts w:ascii="Arial" w:hAnsi="Arial" w:cs="Arial"/>
        </w:rPr>
      </w:pPr>
      <w:r w:rsidRPr="000E79C1">
        <w:rPr>
          <w:rFonts w:ascii="Arial" w:hAnsi="Arial" w:cs="Arial"/>
          <w:i/>
        </w:rPr>
        <w:t>Hospital and Health Services Act 1927</w:t>
      </w:r>
      <w:r>
        <w:rPr>
          <w:rFonts w:ascii="Arial" w:hAnsi="Arial" w:cs="Arial"/>
          <w:i/>
        </w:rPr>
        <w:t xml:space="preserve"> </w:t>
      </w:r>
    </w:p>
    <w:p w:rsidR="005C42B4" w:rsidRPr="000E79C1" w:rsidRDefault="005C42B4" w:rsidP="005C42B4">
      <w:pPr>
        <w:pStyle w:val="ListParagraph"/>
        <w:numPr>
          <w:ilvl w:val="1"/>
          <w:numId w:val="5"/>
        </w:numPr>
        <w:spacing w:after="120"/>
        <w:ind w:left="709" w:right="197" w:hanging="283"/>
        <w:jc w:val="both"/>
        <w:rPr>
          <w:rFonts w:ascii="Arial" w:hAnsi="Arial" w:cs="Arial"/>
        </w:rPr>
      </w:pPr>
      <w:r>
        <w:rPr>
          <w:rFonts w:ascii="Arial" w:hAnsi="Arial" w:cs="Arial"/>
          <w:i/>
        </w:rPr>
        <w:t>Health Services Act 2016</w:t>
      </w:r>
      <w:r w:rsidRPr="000E79C1">
        <w:rPr>
          <w:rFonts w:ascii="Arial" w:hAnsi="Arial" w:cs="Arial"/>
        </w:rPr>
        <w:t xml:space="preserve"> </w:t>
      </w:r>
    </w:p>
    <w:p w:rsidR="005C42B4" w:rsidRPr="00B831E5" w:rsidRDefault="005C42B4" w:rsidP="005C42B4">
      <w:pPr>
        <w:pStyle w:val="ListParagraph"/>
        <w:numPr>
          <w:ilvl w:val="1"/>
          <w:numId w:val="5"/>
        </w:numPr>
        <w:ind w:left="709" w:right="197" w:hanging="283"/>
        <w:jc w:val="both"/>
        <w:rPr>
          <w:rFonts w:ascii="Arial" w:hAnsi="Arial" w:cs="Arial"/>
        </w:rPr>
      </w:pPr>
      <w:r w:rsidRPr="00B831E5">
        <w:rPr>
          <w:rFonts w:ascii="Arial" w:hAnsi="Arial" w:cs="Arial"/>
        </w:rPr>
        <w:t>Licensing standards</w:t>
      </w:r>
    </w:p>
    <w:p w:rsidR="00D92096" w:rsidRPr="00D92096" w:rsidRDefault="005C42B4" w:rsidP="00D92096">
      <w:pPr>
        <w:pStyle w:val="ListParagraph"/>
        <w:numPr>
          <w:ilvl w:val="1"/>
          <w:numId w:val="5"/>
        </w:numPr>
        <w:spacing w:after="120"/>
        <w:ind w:left="709" w:right="197" w:hanging="283"/>
        <w:jc w:val="both"/>
        <w:rPr>
          <w:rFonts w:ascii="Arial" w:hAnsi="Arial" w:cs="Arial"/>
        </w:rPr>
      </w:pPr>
      <w:r w:rsidRPr="000E79C1">
        <w:rPr>
          <w:rFonts w:ascii="Arial" w:hAnsi="Arial" w:cs="Arial"/>
        </w:rPr>
        <w:t>Notifiable Incident reporting processes / documentation</w:t>
      </w:r>
      <w:r w:rsidR="00D92096">
        <w:rPr>
          <w:rFonts w:ascii="Arial" w:hAnsi="Arial" w:cs="Arial"/>
        </w:rPr>
        <w:t>.</w:t>
      </w:r>
    </w:p>
    <w:p w:rsidR="005C42B4" w:rsidRPr="00AD0A99" w:rsidRDefault="005C42B4" w:rsidP="005C42B4">
      <w:pPr>
        <w:pStyle w:val="ListBullet"/>
        <w:numPr>
          <w:ilvl w:val="0"/>
          <w:numId w:val="0"/>
        </w:numPr>
        <w:ind w:right="198"/>
        <w:jc w:val="both"/>
        <w:rPr>
          <w:rFonts w:ascii="Arial" w:hAnsi="Arial" w:cs="Arial"/>
          <w:szCs w:val="24"/>
        </w:rPr>
      </w:pPr>
    </w:p>
    <w:p w:rsidR="005C42B4" w:rsidRPr="00AD0A99" w:rsidRDefault="005C42B4" w:rsidP="005C42B4">
      <w:pPr>
        <w:pStyle w:val="NormalB"/>
        <w:numPr>
          <w:ilvl w:val="0"/>
          <w:numId w:val="8"/>
        </w:numPr>
        <w:spacing w:after="120"/>
        <w:ind w:right="197"/>
        <w:rPr>
          <w:rFonts w:ascii="Arial" w:hAnsi="Arial" w:cs="Arial"/>
          <w:sz w:val="24"/>
        </w:rPr>
      </w:pPr>
      <w:r w:rsidRPr="00AD0A99">
        <w:rPr>
          <w:rFonts w:ascii="Arial" w:hAnsi="Arial" w:cs="Arial"/>
          <w:sz w:val="24"/>
        </w:rPr>
        <w:t>Subcommittees and Working Parties</w:t>
      </w:r>
    </w:p>
    <w:p w:rsidR="005C42B4" w:rsidRPr="0041405B" w:rsidRDefault="005C42B4" w:rsidP="005C42B4">
      <w:pPr>
        <w:ind w:right="198"/>
        <w:jc w:val="both"/>
        <w:rPr>
          <w:rFonts w:ascii="Arial" w:hAnsi="Arial" w:cs="Arial"/>
        </w:rPr>
      </w:pPr>
      <w:r w:rsidRPr="00781CA3">
        <w:rPr>
          <w:rFonts w:ascii="Arial" w:hAnsi="Arial" w:cs="Arial"/>
        </w:rPr>
        <w:t xml:space="preserve">The </w:t>
      </w:r>
      <w:r>
        <w:rPr>
          <w:rFonts w:ascii="Arial" w:hAnsi="Arial" w:cs="Arial"/>
        </w:rPr>
        <w:t>Steering Group</w:t>
      </w:r>
      <w:r w:rsidRPr="00781CA3">
        <w:rPr>
          <w:rFonts w:ascii="Arial" w:hAnsi="Arial" w:cs="Arial"/>
        </w:rPr>
        <w:t xml:space="preserve"> may create Working Parties as required and </w:t>
      </w:r>
      <w:r>
        <w:rPr>
          <w:rFonts w:ascii="Arial" w:hAnsi="Arial" w:cs="Arial"/>
        </w:rPr>
        <w:t xml:space="preserve">can </w:t>
      </w:r>
      <w:r w:rsidRPr="00781CA3">
        <w:rPr>
          <w:rFonts w:ascii="Arial" w:hAnsi="Arial" w:cs="Arial"/>
        </w:rPr>
        <w:t xml:space="preserve">include key stakeholders such as the West Australian </w:t>
      </w:r>
      <w:r>
        <w:rPr>
          <w:rFonts w:ascii="Arial" w:hAnsi="Arial" w:cs="Arial"/>
        </w:rPr>
        <w:t>Association for Mental Health, H</w:t>
      </w:r>
      <w:r w:rsidRPr="00781CA3">
        <w:rPr>
          <w:rFonts w:ascii="Arial" w:hAnsi="Arial" w:cs="Arial"/>
        </w:rPr>
        <w:t xml:space="preserve">ealth and Disability Complaints Office and the Mental Health Advocacy Service. </w:t>
      </w:r>
      <w:r>
        <w:rPr>
          <w:rFonts w:ascii="Arial" w:hAnsi="Arial" w:cs="Arial"/>
        </w:rPr>
        <w:t xml:space="preserve"> </w:t>
      </w:r>
      <w:r w:rsidRPr="00781CA3">
        <w:rPr>
          <w:rFonts w:ascii="Arial" w:hAnsi="Arial" w:cs="Arial"/>
        </w:rPr>
        <w:t>At the time of creation the expected timeframe of the Working Party shall be specified, as will the deliverables expected of it.</w:t>
      </w:r>
    </w:p>
    <w:p w:rsidR="005C42B4" w:rsidRDefault="005C42B4" w:rsidP="005C42B4">
      <w:pPr>
        <w:pStyle w:val="ListBullet"/>
        <w:numPr>
          <w:ilvl w:val="0"/>
          <w:numId w:val="0"/>
        </w:numPr>
        <w:spacing w:after="120"/>
        <w:ind w:right="198"/>
        <w:jc w:val="both"/>
        <w:rPr>
          <w:rFonts w:ascii="Arial" w:hAnsi="Arial" w:cs="Arial"/>
          <w:szCs w:val="24"/>
        </w:rPr>
      </w:pPr>
    </w:p>
    <w:p w:rsidR="005C42B4" w:rsidRDefault="005C42B4" w:rsidP="005C42B4">
      <w:pPr>
        <w:pStyle w:val="ListBullet"/>
        <w:numPr>
          <w:ilvl w:val="0"/>
          <w:numId w:val="0"/>
        </w:numPr>
        <w:spacing w:after="120"/>
        <w:ind w:right="198"/>
        <w:jc w:val="both"/>
        <w:rPr>
          <w:rFonts w:ascii="Arial" w:hAnsi="Arial" w:cs="Arial"/>
          <w:szCs w:val="24"/>
        </w:rPr>
      </w:pPr>
    </w:p>
    <w:p w:rsidR="005C42B4" w:rsidRDefault="005C42B4" w:rsidP="005C42B4">
      <w:pPr>
        <w:pStyle w:val="ListBullet"/>
        <w:numPr>
          <w:ilvl w:val="0"/>
          <w:numId w:val="0"/>
        </w:numPr>
        <w:spacing w:after="120"/>
        <w:ind w:right="198"/>
        <w:jc w:val="both"/>
        <w:rPr>
          <w:rFonts w:ascii="Arial" w:hAnsi="Arial" w:cs="Arial"/>
          <w:szCs w:val="24"/>
        </w:rPr>
      </w:pPr>
    </w:p>
    <w:p w:rsidR="005C42B4" w:rsidRDefault="005C42B4" w:rsidP="005C42B4">
      <w:pPr>
        <w:pStyle w:val="ListBullet"/>
        <w:numPr>
          <w:ilvl w:val="0"/>
          <w:numId w:val="0"/>
        </w:numPr>
        <w:spacing w:after="120"/>
        <w:ind w:right="198"/>
        <w:jc w:val="both"/>
        <w:rPr>
          <w:rFonts w:ascii="Arial" w:hAnsi="Arial" w:cs="Arial"/>
          <w:szCs w:val="24"/>
        </w:rPr>
      </w:pPr>
    </w:p>
    <w:p w:rsidR="005C42B4" w:rsidRPr="00AD0A99" w:rsidRDefault="005C42B4" w:rsidP="005C42B4">
      <w:pPr>
        <w:pStyle w:val="NormalB"/>
        <w:numPr>
          <w:ilvl w:val="0"/>
          <w:numId w:val="8"/>
        </w:numPr>
        <w:spacing w:after="120"/>
        <w:ind w:right="197"/>
        <w:rPr>
          <w:rFonts w:ascii="Arial" w:hAnsi="Arial" w:cs="Arial"/>
          <w:sz w:val="24"/>
        </w:rPr>
      </w:pPr>
      <w:r w:rsidRPr="00AD0A99">
        <w:rPr>
          <w:rFonts w:ascii="Arial" w:hAnsi="Arial" w:cs="Arial"/>
          <w:sz w:val="24"/>
        </w:rPr>
        <w:lastRenderedPageBreak/>
        <w:t>M</w:t>
      </w:r>
      <w:r>
        <w:rPr>
          <w:rFonts w:ascii="Arial" w:hAnsi="Arial" w:cs="Arial"/>
          <w:sz w:val="24"/>
        </w:rPr>
        <w:t>embership</w:t>
      </w:r>
    </w:p>
    <w:p w:rsidR="005C42B4" w:rsidRPr="00AD0A99"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Members</w:t>
      </w:r>
    </w:p>
    <w:p w:rsidR="005C42B4" w:rsidRPr="00AD0A99" w:rsidRDefault="005C42B4" w:rsidP="005C42B4">
      <w:pPr>
        <w:spacing w:after="120"/>
        <w:ind w:left="426" w:right="197" w:hanging="426"/>
        <w:jc w:val="both"/>
        <w:rPr>
          <w:rFonts w:ascii="Arial" w:hAnsi="Arial" w:cs="Arial"/>
        </w:rPr>
      </w:pPr>
      <w:r w:rsidRPr="00AD0A99">
        <w:rPr>
          <w:rFonts w:ascii="Arial" w:hAnsi="Arial" w:cs="Arial"/>
        </w:rPr>
        <w:t>The members of the Reference Group will be as follows:</w:t>
      </w:r>
    </w:p>
    <w:p w:rsidR="005C42B4" w:rsidRDefault="005C42B4" w:rsidP="005C42B4">
      <w:pPr>
        <w:pStyle w:val="NormalB"/>
        <w:numPr>
          <w:ilvl w:val="0"/>
          <w:numId w:val="6"/>
        </w:numPr>
        <w:spacing w:after="120"/>
        <w:ind w:left="425" w:right="198" w:hanging="425"/>
        <w:rPr>
          <w:rFonts w:ascii="Arial" w:hAnsi="Arial" w:cs="Arial"/>
          <w:b w:val="0"/>
          <w:sz w:val="24"/>
        </w:rPr>
      </w:pPr>
      <w:r w:rsidRPr="00EC6CBB">
        <w:rPr>
          <w:rFonts w:ascii="Arial" w:hAnsi="Arial" w:cs="Arial"/>
          <w:b w:val="0"/>
          <w:sz w:val="24"/>
        </w:rPr>
        <w:t xml:space="preserve">Executive Director, </w:t>
      </w:r>
      <w:r>
        <w:rPr>
          <w:rFonts w:ascii="Arial" w:hAnsi="Arial" w:cs="Arial"/>
          <w:b w:val="0"/>
          <w:sz w:val="24"/>
        </w:rPr>
        <w:t>Patient Safety Directorate (DoH)</w:t>
      </w:r>
    </w:p>
    <w:p w:rsidR="005C42B4" w:rsidRDefault="005C42B4" w:rsidP="005C42B4">
      <w:pPr>
        <w:pStyle w:val="NormalB"/>
        <w:numPr>
          <w:ilvl w:val="0"/>
          <w:numId w:val="6"/>
        </w:numPr>
        <w:spacing w:after="120"/>
        <w:ind w:left="426" w:right="56" w:hanging="426"/>
        <w:rPr>
          <w:rFonts w:ascii="Arial" w:hAnsi="Arial" w:cs="Arial"/>
          <w:b w:val="0"/>
          <w:sz w:val="24"/>
        </w:rPr>
      </w:pPr>
      <w:r>
        <w:rPr>
          <w:rFonts w:ascii="Arial" w:hAnsi="Arial" w:cs="Arial"/>
          <w:b w:val="0"/>
          <w:sz w:val="24"/>
        </w:rPr>
        <w:t>Director, Data and Information, Purchasing and System Performance (DoH)</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A/Manager, Licensing and Accreditation Regulatory Unit (DoH)</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Program Manager, Mental Health Unit (DoH)</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Chief Psychiatrist, Office of the Chief Psychiatrist (OCP)</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Intergovernmental Officer (OCP)</w:t>
      </w:r>
    </w:p>
    <w:p w:rsidR="005C42B4" w:rsidRPr="0041405B" w:rsidRDefault="005C42B4" w:rsidP="005C42B4">
      <w:pPr>
        <w:pStyle w:val="NormalB"/>
        <w:numPr>
          <w:ilvl w:val="0"/>
          <w:numId w:val="6"/>
        </w:numPr>
        <w:spacing w:after="120"/>
        <w:ind w:left="426" w:right="197" w:hanging="426"/>
        <w:rPr>
          <w:rFonts w:ascii="Arial" w:hAnsi="Arial" w:cs="Arial"/>
          <w:b w:val="0"/>
          <w:sz w:val="24"/>
        </w:rPr>
      </w:pPr>
      <w:r w:rsidRPr="0041405B">
        <w:rPr>
          <w:rFonts w:ascii="Arial" w:hAnsi="Arial" w:cs="Arial"/>
          <w:b w:val="0"/>
          <w:sz w:val="24"/>
        </w:rPr>
        <w:t>Service Director</w:t>
      </w:r>
      <w:r>
        <w:rPr>
          <w:rFonts w:ascii="Arial" w:hAnsi="Arial" w:cs="Arial"/>
          <w:b w:val="0"/>
          <w:sz w:val="24"/>
        </w:rPr>
        <w:t>,</w:t>
      </w:r>
      <w:r w:rsidRPr="0041405B">
        <w:rPr>
          <w:rFonts w:ascii="Arial" w:hAnsi="Arial" w:cs="Arial"/>
          <w:b w:val="0"/>
          <w:sz w:val="24"/>
        </w:rPr>
        <w:t xml:space="preserve"> Mental Health Armadale Kalamunda Group</w:t>
      </w:r>
      <w:r>
        <w:rPr>
          <w:rFonts w:ascii="Arial" w:hAnsi="Arial" w:cs="Arial"/>
          <w:b w:val="0"/>
          <w:sz w:val="24"/>
        </w:rPr>
        <w:t xml:space="preserve"> (EMHS)</w:t>
      </w:r>
      <w:r w:rsidRPr="0041405B">
        <w:rPr>
          <w:rFonts w:ascii="Arial" w:hAnsi="Arial" w:cs="Arial"/>
          <w:b w:val="0"/>
          <w:sz w:val="24"/>
        </w:rPr>
        <w:t xml:space="preserve"> </w:t>
      </w:r>
    </w:p>
    <w:p w:rsidR="005C42B4" w:rsidRPr="0041405B" w:rsidRDefault="005C42B4" w:rsidP="005C42B4">
      <w:pPr>
        <w:pStyle w:val="NormalB"/>
        <w:numPr>
          <w:ilvl w:val="0"/>
          <w:numId w:val="6"/>
        </w:numPr>
        <w:spacing w:after="120"/>
        <w:ind w:left="426" w:right="197" w:hanging="426"/>
        <w:rPr>
          <w:rFonts w:ascii="Arial" w:hAnsi="Arial" w:cs="Arial"/>
          <w:b w:val="0"/>
          <w:sz w:val="24"/>
        </w:rPr>
      </w:pPr>
      <w:r w:rsidRPr="0041405B">
        <w:rPr>
          <w:rFonts w:ascii="Arial" w:hAnsi="Arial" w:cs="Arial"/>
          <w:b w:val="0"/>
          <w:sz w:val="24"/>
        </w:rPr>
        <w:t>Co-Director, Mental Health</w:t>
      </w:r>
      <w:r>
        <w:rPr>
          <w:rFonts w:ascii="Arial" w:hAnsi="Arial" w:cs="Arial"/>
          <w:b w:val="0"/>
          <w:sz w:val="24"/>
        </w:rPr>
        <w:t xml:space="preserve"> Rockingham (SMHS)</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Director of Clinical Services (NMHS)</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A/Manager Safety and Quality (NMHS)</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Mental Health Clinical Lead (WACHS)</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Senior Project Officer (CAMHS)</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Chief Mental Health Advocate (MHAS)</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Consumer representative</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Carer representative</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Aboriginal representative</w:t>
      </w:r>
    </w:p>
    <w:p w:rsidR="005C42B4" w:rsidRPr="00EC6CBB" w:rsidRDefault="005C42B4" w:rsidP="005C42B4">
      <w:pPr>
        <w:pStyle w:val="NormalB"/>
        <w:numPr>
          <w:ilvl w:val="0"/>
          <w:numId w:val="6"/>
        </w:numPr>
        <w:spacing w:after="120"/>
        <w:ind w:left="426" w:right="197" w:hanging="426"/>
        <w:rPr>
          <w:rFonts w:ascii="Arial" w:hAnsi="Arial" w:cs="Arial"/>
          <w:b w:val="0"/>
          <w:sz w:val="24"/>
        </w:rPr>
      </w:pPr>
      <w:r w:rsidRPr="00EC6CBB">
        <w:rPr>
          <w:rFonts w:ascii="Arial" w:hAnsi="Arial" w:cs="Arial"/>
          <w:b w:val="0"/>
          <w:sz w:val="24"/>
        </w:rPr>
        <w:t xml:space="preserve">Assistant Commissioner, Purchasing, Performance and Service Development </w:t>
      </w:r>
      <w:r>
        <w:rPr>
          <w:rFonts w:ascii="Arial" w:hAnsi="Arial" w:cs="Arial"/>
          <w:b w:val="0"/>
          <w:sz w:val="24"/>
        </w:rPr>
        <w:t>(MHC)</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A/</w:t>
      </w:r>
      <w:r w:rsidRPr="00C41D09">
        <w:rPr>
          <w:rFonts w:ascii="Arial" w:hAnsi="Arial" w:cs="Arial"/>
          <w:b w:val="0"/>
          <w:sz w:val="24"/>
        </w:rPr>
        <w:t xml:space="preserve">Director, Health Relationship and Purchasing (MHC) </w:t>
      </w:r>
    </w:p>
    <w:p w:rsidR="005C42B4" w:rsidRPr="00C41D09" w:rsidRDefault="005C42B4" w:rsidP="005C42B4">
      <w:pPr>
        <w:pStyle w:val="NormalB"/>
        <w:numPr>
          <w:ilvl w:val="0"/>
          <w:numId w:val="6"/>
        </w:numPr>
        <w:spacing w:after="120"/>
        <w:ind w:left="426" w:right="197" w:hanging="426"/>
        <w:rPr>
          <w:rFonts w:ascii="Arial" w:hAnsi="Arial" w:cs="Arial"/>
          <w:b w:val="0"/>
          <w:sz w:val="24"/>
        </w:rPr>
      </w:pPr>
      <w:r w:rsidRPr="00C41D09">
        <w:rPr>
          <w:rFonts w:ascii="Arial" w:hAnsi="Arial" w:cs="Arial"/>
          <w:b w:val="0"/>
          <w:sz w:val="24"/>
        </w:rPr>
        <w:t xml:space="preserve">Assistant Director, </w:t>
      </w:r>
      <w:r>
        <w:rPr>
          <w:rFonts w:ascii="Arial" w:hAnsi="Arial" w:cs="Arial"/>
          <w:b w:val="0"/>
          <w:sz w:val="24"/>
        </w:rPr>
        <w:t>Programs</w:t>
      </w:r>
      <w:r w:rsidRPr="00C41D09">
        <w:rPr>
          <w:rFonts w:ascii="Arial" w:hAnsi="Arial" w:cs="Arial"/>
          <w:b w:val="0"/>
          <w:sz w:val="24"/>
        </w:rPr>
        <w:t xml:space="preserve"> (MHC)</w:t>
      </w:r>
    </w:p>
    <w:p w:rsidR="005C42B4"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Senior Project Officer, Quality Assurance (MHC) Secretariat</w:t>
      </w:r>
    </w:p>
    <w:p w:rsidR="005C42B4" w:rsidRPr="00781CA3" w:rsidRDefault="005C42B4" w:rsidP="005C42B4">
      <w:pPr>
        <w:ind w:left="720" w:right="198"/>
        <w:jc w:val="both"/>
        <w:rPr>
          <w:rFonts w:ascii="Arial" w:hAnsi="Arial" w:cs="Arial"/>
          <w:b/>
        </w:rPr>
      </w:pPr>
    </w:p>
    <w:p w:rsidR="005C42B4" w:rsidRPr="005C7EE9" w:rsidRDefault="005C42B4" w:rsidP="005C42B4">
      <w:pPr>
        <w:numPr>
          <w:ilvl w:val="0"/>
          <w:numId w:val="7"/>
        </w:numPr>
        <w:spacing w:after="120"/>
        <w:ind w:right="197"/>
        <w:jc w:val="both"/>
        <w:rPr>
          <w:rFonts w:ascii="Arial" w:hAnsi="Arial" w:cs="Arial"/>
          <w:b/>
        </w:rPr>
      </w:pPr>
      <w:r w:rsidRPr="005C7EE9">
        <w:rPr>
          <w:rFonts w:ascii="Arial" w:hAnsi="Arial" w:cs="Arial"/>
          <w:b/>
        </w:rPr>
        <w:t>Chair</w:t>
      </w:r>
      <w:r>
        <w:rPr>
          <w:rFonts w:ascii="Arial" w:hAnsi="Arial" w:cs="Arial"/>
          <w:b/>
        </w:rPr>
        <w:t>person</w:t>
      </w:r>
    </w:p>
    <w:p w:rsidR="005C42B4" w:rsidRPr="00387E77" w:rsidRDefault="005C42B4" w:rsidP="005C42B4">
      <w:pPr>
        <w:pStyle w:val="NormalB"/>
        <w:ind w:right="198"/>
        <w:rPr>
          <w:rFonts w:ascii="Arial" w:hAnsi="Arial" w:cs="Arial"/>
          <w:b w:val="0"/>
          <w:sz w:val="24"/>
        </w:rPr>
      </w:pPr>
      <w:r w:rsidRPr="00387E77">
        <w:rPr>
          <w:rFonts w:ascii="Arial" w:hAnsi="Arial" w:cs="Arial"/>
          <w:b w:val="0"/>
          <w:sz w:val="24"/>
        </w:rPr>
        <w:t xml:space="preserve">The </w:t>
      </w:r>
      <w:r>
        <w:rPr>
          <w:rFonts w:ascii="Arial" w:hAnsi="Arial" w:cs="Arial"/>
          <w:b w:val="0"/>
          <w:sz w:val="24"/>
        </w:rPr>
        <w:t>C</w:t>
      </w:r>
      <w:r w:rsidRPr="00387E77">
        <w:rPr>
          <w:rFonts w:ascii="Arial" w:hAnsi="Arial" w:cs="Arial"/>
          <w:b w:val="0"/>
          <w:sz w:val="24"/>
        </w:rPr>
        <w:t>hair</w:t>
      </w:r>
      <w:r>
        <w:rPr>
          <w:rFonts w:ascii="Arial" w:hAnsi="Arial" w:cs="Arial"/>
          <w:b w:val="0"/>
          <w:sz w:val="24"/>
        </w:rPr>
        <w:t>person is</w:t>
      </w:r>
      <w:r w:rsidRPr="00387E77">
        <w:rPr>
          <w:rFonts w:ascii="Arial" w:hAnsi="Arial" w:cs="Arial"/>
          <w:b w:val="0"/>
          <w:sz w:val="24"/>
        </w:rPr>
        <w:t xml:space="preserve"> </w:t>
      </w:r>
      <w:r>
        <w:rPr>
          <w:rFonts w:ascii="Arial" w:hAnsi="Arial" w:cs="Arial"/>
          <w:b w:val="0"/>
          <w:sz w:val="24"/>
        </w:rPr>
        <w:t>to be rotated between DoH, OCP and MHC every 12 months.</w:t>
      </w:r>
    </w:p>
    <w:p w:rsidR="005C42B4" w:rsidRPr="00AD0A99" w:rsidRDefault="005C42B4" w:rsidP="005C42B4">
      <w:pPr>
        <w:ind w:left="720" w:right="198"/>
        <w:jc w:val="both"/>
        <w:rPr>
          <w:rFonts w:ascii="Arial" w:hAnsi="Arial" w:cs="Arial"/>
        </w:rPr>
      </w:pPr>
    </w:p>
    <w:p w:rsidR="005C42B4" w:rsidRPr="005C7EE9" w:rsidRDefault="005C42B4" w:rsidP="005C42B4">
      <w:pPr>
        <w:numPr>
          <w:ilvl w:val="0"/>
          <w:numId w:val="7"/>
        </w:numPr>
        <w:spacing w:after="120"/>
        <w:ind w:right="197"/>
        <w:jc w:val="both"/>
        <w:rPr>
          <w:rFonts w:ascii="Arial" w:hAnsi="Arial" w:cs="Arial"/>
          <w:b/>
        </w:rPr>
      </w:pPr>
      <w:r w:rsidRPr="005C7EE9">
        <w:rPr>
          <w:rFonts w:ascii="Arial" w:hAnsi="Arial" w:cs="Arial"/>
          <w:b/>
        </w:rPr>
        <w:t xml:space="preserve">Secretariat to the </w:t>
      </w:r>
      <w:r>
        <w:rPr>
          <w:rFonts w:ascii="Arial" w:hAnsi="Arial" w:cs="Arial"/>
          <w:b/>
        </w:rPr>
        <w:t>Steering Group</w:t>
      </w:r>
      <w:r w:rsidRPr="005C7EE9">
        <w:rPr>
          <w:rFonts w:ascii="Arial" w:hAnsi="Arial" w:cs="Arial"/>
          <w:b/>
        </w:rPr>
        <w:t xml:space="preserve"> </w:t>
      </w:r>
    </w:p>
    <w:p w:rsidR="005C42B4" w:rsidRPr="00B559B9" w:rsidRDefault="005C42B4" w:rsidP="005C42B4">
      <w:pPr>
        <w:spacing w:after="120"/>
        <w:ind w:right="197"/>
        <w:jc w:val="both"/>
        <w:rPr>
          <w:rFonts w:ascii="Arial" w:hAnsi="Arial" w:cs="Arial"/>
        </w:rPr>
      </w:pPr>
      <w:r w:rsidRPr="00B559B9">
        <w:rPr>
          <w:rFonts w:ascii="Arial" w:hAnsi="Arial" w:cs="Arial"/>
        </w:rPr>
        <w:t xml:space="preserve">The Secretary to the </w:t>
      </w:r>
      <w:r>
        <w:rPr>
          <w:rFonts w:ascii="Arial" w:hAnsi="Arial" w:cs="Arial"/>
        </w:rPr>
        <w:t>Steering Group</w:t>
      </w:r>
      <w:r w:rsidRPr="00B559B9">
        <w:rPr>
          <w:rFonts w:ascii="Arial" w:hAnsi="Arial" w:cs="Arial"/>
        </w:rPr>
        <w:t xml:space="preserve"> shall be the Senior Project Officer, Quality Assurance (MHC).</w:t>
      </w:r>
    </w:p>
    <w:p w:rsidR="005C42B4" w:rsidRPr="00B559B9" w:rsidRDefault="005C42B4" w:rsidP="005C42B4">
      <w:pPr>
        <w:spacing w:after="120"/>
        <w:ind w:right="197"/>
        <w:jc w:val="both"/>
        <w:rPr>
          <w:rFonts w:ascii="Arial" w:hAnsi="Arial" w:cs="Arial"/>
        </w:rPr>
      </w:pPr>
      <w:r w:rsidRPr="00B559B9">
        <w:rPr>
          <w:rFonts w:ascii="Arial" w:hAnsi="Arial" w:cs="Arial"/>
        </w:rPr>
        <w:t xml:space="preserve">The Secretary shall be the authorised channel of communication of decisions of the </w:t>
      </w:r>
      <w:r>
        <w:rPr>
          <w:rFonts w:ascii="Arial" w:hAnsi="Arial" w:cs="Arial"/>
        </w:rPr>
        <w:t>Steering Group</w:t>
      </w:r>
      <w:r w:rsidRPr="00B559B9">
        <w:rPr>
          <w:rFonts w:ascii="Arial" w:hAnsi="Arial" w:cs="Arial"/>
        </w:rPr>
        <w:t>.</w:t>
      </w:r>
    </w:p>
    <w:p w:rsidR="005C42B4" w:rsidRPr="00B559B9" w:rsidRDefault="005C42B4" w:rsidP="005C42B4">
      <w:pPr>
        <w:spacing w:after="120"/>
        <w:ind w:right="197"/>
        <w:jc w:val="both"/>
        <w:rPr>
          <w:rFonts w:ascii="Arial" w:hAnsi="Arial" w:cs="Arial"/>
        </w:rPr>
      </w:pPr>
      <w:r w:rsidRPr="00B559B9">
        <w:rPr>
          <w:rFonts w:ascii="Arial" w:hAnsi="Arial" w:cs="Arial"/>
        </w:rPr>
        <w:t>The Secretary, following approval by the Chair</w:t>
      </w:r>
      <w:r>
        <w:rPr>
          <w:rFonts w:ascii="Arial" w:hAnsi="Arial" w:cs="Arial"/>
        </w:rPr>
        <w:t>person</w:t>
      </w:r>
      <w:r w:rsidRPr="00B559B9">
        <w:rPr>
          <w:rFonts w:ascii="Arial" w:hAnsi="Arial" w:cs="Arial"/>
        </w:rPr>
        <w:t xml:space="preserve">, shall: issue agendas and supporting material which shall be available electronically at least three working days prior to meetings; book venues, prepare minutes and/or action statements for each meeting and circulate these </w:t>
      </w:r>
      <w:r>
        <w:rPr>
          <w:rFonts w:ascii="Arial" w:hAnsi="Arial" w:cs="Arial"/>
        </w:rPr>
        <w:t>a week before the next</w:t>
      </w:r>
      <w:r w:rsidRPr="00B559B9">
        <w:rPr>
          <w:rFonts w:ascii="Arial" w:hAnsi="Arial" w:cs="Arial"/>
        </w:rPr>
        <w:t xml:space="preserve"> meeting; keep separate files of:</w:t>
      </w:r>
    </w:p>
    <w:p w:rsidR="005C42B4" w:rsidRPr="009D2F2E" w:rsidRDefault="005C42B4" w:rsidP="005C42B4">
      <w:pPr>
        <w:pStyle w:val="NormalB"/>
        <w:numPr>
          <w:ilvl w:val="0"/>
          <w:numId w:val="6"/>
        </w:numPr>
        <w:spacing w:after="120"/>
        <w:ind w:left="426" w:right="197" w:hanging="426"/>
        <w:rPr>
          <w:rFonts w:ascii="Arial" w:hAnsi="Arial" w:cs="Arial"/>
          <w:b w:val="0"/>
          <w:sz w:val="24"/>
        </w:rPr>
      </w:pPr>
      <w:r w:rsidRPr="009D2F2E">
        <w:rPr>
          <w:rFonts w:ascii="Arial" w:hAnsi="Arial" w:cs="Arial"/>
          <w:b w:val="0"/>
          <w:sz w:val="24"/>
        </w:rPr>
        <w:lastRenderedPageBreak/>
        <w:t>Agendas and documents circulated with them;</w:t>
      </w:r>
    </w:p>
    <w:p w:rsidR="005C42B4" w:rsidRPr="009D2F2E" w:rsidRDefault="005C42B4" w:rsidP="005C42B4">
      <w:pPr>
        <w:pStyle w:val="NormalB"/>
        <w:numPr>
          <w:ilvl w:val="0"/>
          <w:numId w:val="6"/>
        </w:numPr>
        <w:spacing w:after="120"/>
        <w:ind w:left="426" w:right="197" w:hanging="426"/>
        <w:rPr>
          <w:rFonts w:ascii="Arial" w:hAnsi="Arial" w:cs="Arial"/>
          <w:b w:val="0"/>
          <w:sz w:val="24"/>
        </w:rPr>
      </w:pPr>
      <w:r w:rsidRPr="009D2F2E">
        <w:rPr>
          <w:rFonts w:ascii="Arial" w:hAnsi="Arial" w:cs="Arial"/>
          <w:b w:val="0"/>
          <w:sz w:val="24"/>
        </w:rPr>
        <w:t>Minutes and/or action sheets;</w:t>
      </w:r>
    </w:p>
    <w:p w:rsidR="005C42B4" w:rsidRPr="009D2F2E" w:rsidRDefault="005C42B4" w:rsidP="005C42B4">
      <w:pPr>
        <w:pStyle w:val="NormalB"/>
        <w:numPr>
          <w:ilvl w:val="0"/>
          <w:numId w:val="6"/>
        </w:numPr>
        <w:spacing w:after="120"/>
        <w:ind w:left="426" w:right="197" w:hanging="426"/>
        <w:rPr>
          <w:rFonts w:ascii="Arial" w:hAnsi="Arial" w:cs="Arial"/>
          <w:b w:val="0"/>
          <w:sz w:val="24"/>
        </w:rPr>
      </w:pPr>
      <w:r w:rsidRPr="009D2F2E">
        <w:rPr>
          <w:rFonts w:ascii="Arial" w:hAnsi="Arial" w:cs="Arial"/>
          <w:b w:val="0"/>
          <w:sz w:val="24"/>
        </w:rPr>
        <w:t>Any documents/correspondence tabled at meetings or circulated other than with agendas.</w:t>
      </w:r>
    </w:p>
    <w:p w:rsidR="005C42B4" w:rsidRPr="00B559B9" w:rsidRDefault="005C42B4" w:rsidP="005C42B4">
      <w:pPr>
        <w:spacing w:after="120"/>
        <w:ind w:right="197"/>
        <w:jc w:val="both"/>
        <w:rPr>
          <w:rFonts w:ascii="Arial" w:hAnsi="Arial" w:cs="Arial"/>
        </w:rPr>
      </w:pPr>
      <w:r w:rsidRPr="00B559B9">
        <w:rPr>
          <w:rFonts w:ascii="Arial" w:hAnsi="Arial" w:cs="Arial"/>
        </w:rPr>
        <w:t xml:space="preserve">The Secretary’s files shall remain the property of the </w:t>
      </w:r>
      <w:r>
        <w:rPr>
          <w:rFonts w:ascii="Arial" w:hAnsi="Arial" w:cs="Arial"/>
        </w:rPr>
        <w:t>MHC</w:t>
      </w:r>
      <w:r w:rsidRPr="00B559B9">
        <w:rPr>
          <w:rFonts w:ascii="Arial" w:hAnsi="Arial" w:cs="Arial"/>
        </w:rPr>
        <w:t xml:space="preserve"> and must be preserved in accordance with the State Records Act 2000.</w:t>
      </w:r>
    </w:p>
    <w:p w:rsidR="005C42B4" w:rsidRDefault="005C42B4" w:rsidP="005C42B4">
      <w:pPr>
        <w:ind w:right="198"/>
        <w:jc w:val="both"/>
        <w:rPr>
          <w:rFonts w:ascii="Arial" w:hAnsi="Arial" w:cs="Arial"/>
        </w:rPr>
      </w:pPr>
      <w:r w:rsidRPr="00B559B9">
        <w:rPr>
          <w:rFonts w:ascii="Arial" w:hAnsi="Arial" w:cs="Arial"/>
        </w:rPr>
        <w:t>M</w:t>
      </w:r>
      <w:r>
        <w:rPr>
          <w:rFonts w:ascii="Arial" w:hAnsi="Arial" w:cs="Arial"/>
        </w:rPr>
        <w:t xml:space="preserve">inutes shall be ratified by at least two Steering Group members </w:t>
      </w:r>
      <w:r w:rsidRPr="00B559B9">
        <w:rPr>
          <w:rFonts w:ascii="Arial" w:hAnsi="Arial" w:cs="Arial"/>
        </w:rPr>
        <w:t>at the subsequent meeting.</w:t>
      </w:r>
    </w:p>
    <w:p w:rsidR="005C42B4" w:rsidRPr="00387E77" w:rsidRDefault="005C42B4" w:rsidP="005C42B4">
      <w:pPr>
        <w:ind w:left="720" w:right="198"/>
        <w:jc w:val="both"/>
        <w:rPr>
          <w:rFonts w:ascii="Arial" w:hAnsi="Arial" w:cs="Arial"/>
        </w:rPr>
      </w:pPr>
    </w:p>
    <w:p w:rsidR="005C42B4" w:rsidRPr="00AD0A99" w:rsidRDefault="005C42B4" w:rsidP="005C42B4">
      <w:pPr>
        <w:numPr>
          <w:ilvl w:val="0"/>
          <w:numId w:val="7"/>
        </w:numPr>
        <w:spacing w:after="120"/>
        <w:ind w:right="197"/>
        <w:jc w:val="both"/>
        <w:rPr>
          <w:rFonts w:ascii="Arial" w:hAnsi="Arial" w:cs="Arial"/>
          <w:b/>
        </w:rPr>
      </w:pPr>
      <w:r w:rsidRPr="00AD0A99">
        <w:rPr>
          <w:rFonts w:ascii="Arial" w:hAnsi="Arial" w:cs="Arial"/>
          <w:b/>
        </w:rPr>
        <w:t>Operating Procedures</w:t>
      </w:r>
    </w:p>
    <w:p w:rsidR="005C42B4"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Meetings</w:t>
      </w:r>
    </w:p>
    <w:p w:rsidR="005C42B4" w:rsidRDefault="005C42B4" w:rsidP="005C42B4">
      <w:pPr>
        <w:ind w:right="198"/>
        <w:jc w:val="both"/>
        <w:rPr>
          <w:rFonts w:ascii="Arial" w:hAnsi="Arial" w:cs="Arial"/>
        </w:rPr>
      </w:pPr>
      <w:r w:rsidRPr="00B559B9">
        <w:rPr>
          <w:rFonts w:ascii="Arial" w:hAnsi="Arial" w:cs="Arial"/>
        </w:rPr>
        <w:t xml:space="preserve">The </w:t>
      </w:r>
      <w:r>
        <w:rPr>
          <w:rFonts w:ascii="Arial" w:hAnsi="Arial" w:cs="Arial"/>
        </w:rPr>
        <w:t>Steering Group</w:t>
      </w:r>
      <w:r w:rsidRPr="00B559B9">
        <w:rPr>
          <w:rFonts w:ascii="Arial" w:hAnsi="Arial" w:cs="Arial"/>
        </w:rPr>
        <w:t xml:space="preserve"> shall normally meet every 3 months.</w:t>
      </w:r>
      <w:r>
        <w:rPr>
          <w:rFonts w:ascii="Arial" w:hAnsi="Arial" w:cs="Arial"/>
        </w:rPr>
        <w:t xml:space="preserve">  </w:t>
      </w:r>
      <w:r w:rsidRPr="00B559B9">
        <w:rPr>
          <w:rFonts w:ascii="Arial" w:hAnsi="Arial" w:cs="Arial"/>
        </w:rPr>
        <w:t xml:space="preserve">The </w:t>
      </w:r>
      <w:r>
        <w:rPr>
          <w:rFonts w:ascii="Arial" w:hAnsi="Arial" w:cs="Arial"/>
        </w:rPr>
        <w:t>Chairperson</w:t>
      </w:r>
      <w:r w:rsidRPr="00B559B9">
        <w:rPr>
          <w:rFonts w:ascii="Arial" w:hAnsi="Arial" w:cs="Arial"/>
        </w:rPr>
        <w:t xml:space="preserve"> may convene a special meeting in which case all </w:t>
      </w:r>
      <w:r>
        <w:rPr>
          <w:rFonts w:ascii="Arial" w:hAnsi="Arial" w:cs="Arial"/>
        </w:rPr>
        <w:t>Steering Group</w:t>
      </w:r>
      <w:r w:rsidRPr="00B559B9">
        <w:rPr>
          <w:rFonts w:ascii="Arial" w:hAnsi="Arial" w:cs="Arial"/>
        </w:rPr>
        <w:t xml:space="preserve"> members shall receive at least 24 hours’ notice of the meeting in writing, by email or by phone.</w:t>
      </w:r>
    </w:p>
    <w:p w:rsidR="005C42B4" w:rsidRDefault="005C42B4" w:rsidP="005C42B4">
      <w:pPr>
        <w:ind w:left="720" w:right="198"/>
        <w:jc w:val="both"/>
        <w:rPr>
          <w:rFonts w:ascii="Arial" w:hAnsi="Arial" w:cs="Arial"/>
          <w:b/>
        </w:rPr>
      </w:pPr>
    </w:p>
    <w:p w:rsidR="005C42B4"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Quorum</w:t>
      </w:r>
    </w:p>
    <w:p w:rsidR="005C42B4" w:rsidRPr="00B85BBC" w:rsidRDefault="005C42B4" w:rsidP="005C42B4">
      <w:pPr>
        <w:ind w:right="198"/>
        <w:jc w:val="both"/>
        <w:rPr>
          <w:rFonts w:ascii="Arial" w:hAnsi="Arial" w:cs="Arial"/>
        </w:rPr>
      </w:pPr>
      <w:r w:rsidRPr="00B85BBC">
        <w:rPr>
          <w:rFonts w:ascii="Arial" w:hAnsi="Arial" w:cs="Arial"/>
        </w:rPr>
        <w:t>A quorum consists of a Chair</w:t>
      </w:r>
      <w:r>
        <w:rPr>
          <w:rFonts w:ascii="Arial" w:hAnsi="Arial" w:cs="Arial"/>
        </w:rPr>
        <w:t>person</w:t>
      </w:r>
      <w:r w:rsidRPr="00B85BBC">
        <w:rPr>
          <w:rFonts w:ascii="Arial" w:hAnsi="Arial" w:cs="Arial"/>
        </w:rPr>
        <w:t xml:space="preserve"> or delegate, plus </w:t>
      </w:r>
      <w:r>
        <w:rPr>
          <w:rFonts w:ascii="Arial" w:hAnsi="Arial" w:cs="Arial"/>
        </w:rPr>
        <w:t xml:space="preserve">five </w:t>
      </w:r>
      <w:r w:rsidRPr="00B85BBC">
        <w:rPr>
          <w:rFonts w:ascii="Arial" w:hAnsi="Arial" w:cs="Arial"/>
        </w:rPr>
        <w:t>(</w:t>
      </w:r>
      <w:r>
        <w:rPr>
          <w:rFonts w:ascii="Arial" w:hAnsi="Arial" w:cs="Arial"/>
        </w:rPr>
        <w:t>5</w:t>
      </w:r>
      <w:r w:rsidRPr="00B85BBC">
        <w:rPr>
          <w:rFonts w:ascii="Arial" w:hAnsi="Arial" w:cs="Arial"/>
        </w:rPr>
        <w:t xml:space="preserve">) </w:t>
      </w:r>
      <w:r>
        <w:rPr>
          <w:rFonts w:ascii="Arial" w:hAnsi="Arial" w:cs="Arial"/>
        </w:rPr>
        <w:t>Steering Group</w:t>
      </w:r>
      <w:r w:rsidRPr="00B85BBC">
        <w:rPr>
          <w:rFonts w:ascii="Arial" w:hAnsi="Arial" w:cs="Arial"/>
        </w:rPr>
        <w:t xml:space="preserve"> or proxy members.</w:t>
      </w:r>
      <w:r>
        <w:rPr>
          <w:rFonts w:ascii="Arial" w:hAnsi="Arial" w:cs="Arial"/>
        </w:rPr>
        <w:t xml:space="preserve">  This should comprise at least one representative from DoH, OCP, MHC and two HSP representatives.</w:t>
      </w:r>
    </w:p>
    <w:p w:rsidR="005C42B4" w:rsidRDefault="005C42B4" w:rsidP="005C42B4">
      <w:pPr>
        <w:ind w:left="720" w:right="198"/>
        <w:jc w:val="both"/>
        <w:rPr>
          <w:rFonts w:ascii="Arial" w:hAnsi="Arial" w:cs="Arial"/>
          <w:b/>
        </w:rPr>
      </w:pPr>
    </w:p>
    <w:p w:rsidR="005C42B4"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Apologies</w:t>
      </w:r>
    </w:p>
    <w:p w:rsidR="005C42B4" w:rsidRDefault="005C42B4" w:rsidP="005C42B4">
      <w:pPr>
        <w:ind w:right="198"/>
        <w:jc w:val="both"/>
        <w:rPr>
          <w:rFonts w:ascii="Arial" w:hAnsi="Arial" w:cs="Arial"/>
        </w:rPr>
      </w:pPr>
      <w:r w:rsidRPr="00B85BBC">
        <w:rPr>
          <w:rFonts w:ascii="Arial" w:hAnsi="Arial" w:cs="Arial"/>
        </w:rPr>
        <w:t>If a member is to be absent, then a</w:t>
      </w:r>
      <w:r>
        <w:rPr>
          <w:rFonts w:ascii="Arial" w:hAnsi="Arial" w:cs="Arial"/>
        </w:rPr>
        <w:t xml:space="preserve"> permanent proxy should be arranged and notification that the nominated proxy will attend should</w:t>
      </w:r>
      <w:r w:rsidRPr="00B85BBC">
        <w:rPr>
          <w:rFonts w:ascii="Arial" w:hAnsi="Arial" w:cs="Arial"/>
        </w:rPr>
        <w:t xml:space="preserve"> be given </w:t>
      </w:r>
      <w:r>
        <w:rPr>
          <w:rFonts w:ascii="Arial" w:hAnsi="Arial" w:cs="Arial"/>
        </w:rPr>
        <w:t xml:space="preserve">prior to the next meeting, </w:t>
      </w:r>
      <w:r w:rsidRPr="00B85BBC">
        <w:rPr>
          <w:rFonts w:ascii="Arial" w:hAnsi="Arial" w:cs="Arial"/>
        </w:rPr>
        <w:t xml:space="preserve">either through the </w:t>
      </w:r>
      <w:r>
        <w:rPr>
          <w:rFonts w:ascii="Arial" w:hAnsi="Arial" w:cs="Arial"/>
        </w:rPr>
        <w:t>Steering Group’s</w:t>
      </w:r>
      <w:r w:rsidRPr="00B85BBC">
        <w:rPr>
          <w:rFonts w:ascii="Arial" w:hAnsi="Arial" w:cs="Arial"/>
        </w:rPr>
        <w:t xml:space="preserve"> Secretar</w:t>
      </w:r>
      <w:r>
        <w:rPr>
          <w:rFonts w:ascii="Arial" w:hAnsi="Arial" w:cs="Arial"/>
        </w:rPr>
        <w:t>iat</w:t>
      </w:r>
      <w:r w:rsidRPr="00B85BBC">
        <w:rPr>
          <w:rFonts w:ascii="Arial" w:hAnsi="Arial" w:cs="Arial"/>
        </w:rPr>
        <w:t xml:space="preserve"> or the Chair</w:t>
      </w:r>
      <w:r>
        <w:rPr>
          <w:rFonts w:ascii="Arial" w:hAnsi="Arial" w:cs="Arial"/>
        </w:rPr>
        <w:t>person</w:t>
      </w:r>
      <w:r w:rsidRPr="00B85BBC">
        <w:rPr>
          <w:rFonts w:ascii="Arial" w:hAnsi="Arial" w:cs="Arial"/>
        </w:rPr>
        <w:t>.</w:t>
      </w:r>
    </w:p>
    <w:p w:rsidR="005C42B4" w:rsidRDefault="005C42B4" w:rsidP="005C42B4">
      <w:pPr>
        <w:ind w:left="720" w:right="198"/>
        <w:jc w:val="both"/>
        <w:rPr>
          <w:rFonts w:ascii="Arial" w:hAnsi="Arial" w:cs="Arial"/>
        </w:rPr>
      </w:pPr>
    </w:p>
    <w:p w:rsidR="005C42B4"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Voting</w:t>
      </w:r>
    </w:p>
    <w:p w:rsidR="005C42B4" w:rsidRDefault="005C42B4" w:rsidP="005C42B4">
      <w:pPr>
        <w:ind w:right="198"/>
        <w:jc w:val="both"/>
        <w:rPr>
          <w:rFonts w:ascii="Arial" w:hAnsi="Arial" w:cs="Arial"/>
        </w:rPr>
      </w:pPr>
      <w:r w:rsidRPr="00B85BBC">
        <w:rPr>
          <w:rFonts w:ascii="Arial" w:hAnsi="Arial" w:cs="Arial"/>
        </w:rPr>
        <w:t xml:space="preserve">Where the Chairperson deems a matter is for vote, then each member of the </w:t>
      </w:r>
      <w:r>
        <w:rPr>
          <w:rFonts w:ascii="Arial" w:hAnsi="Arial" w:cs="Arial"/>
        </w:rPr>
        <w:t>Steering Group (including proxy members)</w:t>
      </w:r>
      <w:r w:rsidRPr="00B85BBC">
        <w:rPr>
          <w:rFonts w:ascii="Arial" w:hAnsi="Arial" w:cs="Arial"/>
        </w:rPr>
        <w:t xml:space="preserve"> has the right to vote. Co-opted members or any other persons in attendance may not vote.</w:t>
      </w:r>
    </w:p>
    <w:p w:rsidR="005C42B4" w:rsidRDefault="005C42B4" w:rsidP="005C42B4">
      <w:pPr>
        <w:ind w:left="720" w:right="198"/>
        <w:jc w:val="both"/>
        <w:rPr>
          <w:rFonts w:ascii="Arial" w:hAnsi="Arial" w:cs="Arial"/>
        </w:rPr>
      </w:pPr>
    </w:p>
    <w:p w:rsidR="005C42B4"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Conduct of meetings</w:t>
      </w:r>
    </w:p>
    <w:p w:rsidR="005C42B4" w:rsidRDefault="005C42B4" w:rsidP="005C42B4">
      <w:pPr>
        <w:ind w:right="198"/>
        <w:jc w:val="both"/>
        <w:rPr>
          <w:rFonts w:ascii="Arial" w:hAnsi="Arial" w:cs="Arial"/>
        </w:rPr>
      </w:pPr>
      <w:r w:rsidRPr="00B85BBC">
        <w:rPr>
          <w:rFonts w:ascii="Arial" w:hAnsi="Arial" w:cs="Arial"/>
        </w:rPr>
        <w:t>The decision of the Chair</w:t>
      </w:r>
      <w:r>
        <w:rPr>
          <w:rFonts w:ascii="Arial" w:hAnsi="Arial" w:cs="Arial"/>
        </w:rPr>
        <w:t>person</w:t>
      </w:r>
      <w:r w:rsidRPr="00B85BBC">
        <w:rPr>
          <w:rFonts w:ascii="Arial" w:hAnsi="Arial" w:cs="Arial"/>
        </w:rPr>
        <w:t xml:space="preserve"> is final in all matters of procedure.</w:t>
      </w:r>
    </w:p>
    <w:p w:rsidR="005C42B4" w:rsidRPr="00B85BBC" w:rsidRDefault="005C42B4" w:rsidP="005C42B4">
      <w:pPr>
        <w:ind w:right="197"/>
        <w:jc w:val="both"/>
        <w:rPr>
          <w:rFonts w:ascii="Arial" w:hAnsi="Arial" w:cs="Arial"/>
        </w:rPr>
      </w:pPr>
    </w:p>
    <w:p w:rsidR="005C42B4"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Standing agenda items</w:t>
      </w:r>
    </w:p>
    <w:p w:rsidR="005C42B4" w:rsidRPr="00B85BBC" w:rsidRDefault="005C42B4" w:rsidP="005C42B4">
      <w:pPr>
        <w:spacing w:after="120"/>
        <w:ind w:right="197"/>
        <w:jc w:val="both"/>
        <w:rPr>
          <w:rFonts w:ascii="Arial" w:hAnsi="Arial" w:cs="Arial"/>
        </w:rPr>
      </w:pPr>
      <w:r w:rsidRPr="00B85BBC">
        <w:rPr>
          <w:rFonts w:ascii="Arial" w:hAnsi="Arial" w:cs="Arial"/>
        </w:rPr>
        <w:t>The specific standing agenda items are:</w:t>
      </w:r>
    </w:p>
    <w:p w:rsidR="005C42B4" w:rsidRPr="006E03CF" w:rsidRDefault="005C42B4" w:rsidP="005C42B4">
      <w:pPr>
        <w:pStyle w:val="NormalB"/>
        <w:numPr>
          <w:ilvl w:val="0"/>
          <w:numId w:val="6"/>
        </w:numPr>
        <w:spacing w:after="120"/>
        <w:ind w:left="426" w:right="197" w:hanging="426"/>
        <w:rPr>
          <w:rFonts w:ascii="Arial" w:hAnsi="Arial" w:cs="Arial"/>
          <w:b w:val="0"/>
          <w:sz w:val="24"/>
        </w:rPr>
      </w:pPr>
      <w:r>
        <w:rPr>
          <w:rFonts w:ascii="Arial" w:hAnsi="Arial" w:cs="Arial"/>
          <w:b w:val="0"/>
          <w:sz w:val="24"/>
        </w:rPr>
        <w:t xml:space="preserve">Updates on </w:t>
      </w:r>
      <w:r w:rsidRPr="006E03CF">
        <w:rPr>
          <w:rFonts w:ascii="Arial" w:hAnsi="Arial" w:cs="Arial"/>
          <w:b w:val="0"/>
          <w:sz w:val="24"/>
        </w:rPr>
        <w:t>Safety and Quality Partnership Standing Committee (SQPSC)</w:t>
      </w:r>
    </w:p>
    <w:p w:rsidR="005C42B4" w:rsidRPr="006E03CF" w:rsidRDefault="005C42B4" w:rsidP="005C42B4">
      <w:pPr>
        <w:pStyle w:val="NormalB"/>
        <w:numPr>
          <w:ilvl w:val="0"/>
          <w:numId w:val="6"/>
        </w:numPr>
        <w:spacing w:after="120"/>
        <w:ind w:left="426" w:right="197" w:hanging="426"/>
        <w:rPr>
          <w:rFonts w:ascii="Arial" w:hAnsi="Arial" w:cs="Arial"/>
          <w:b w:val="0"/>
          <w:sz w:val="24"/>
        </w:rPr>
      </w:pPr>
      <w:r w:rsidRPr="006E03CF">
        <w:rPr>
          <w:rFonts w:ascii="Arial" w:hAnsi="Arial" w:cs="Arial"/>
          <w:b w:val="0"/>
          <w:sz w:val="24"/>
        </w:rPr>
        <w:t>Notifiable Incidents – trend data</w:t>
      </w:r>
    </w:p>
    <w:p w:rsidR="005C42B4" w:rsidRPr="0041405B" w:rsidRDefault="005C42B4" w:rsidP="005C42B4">
      <w:pPr>
        <w:pStyle w:val="BodyText"/>
        <w:numPr>
          <w:ilvl w:val="0"/>
          <w:numId w:val="3"/>
        </w:numPr>
        <w:tabs>
          <w:tab w:val="clear" w:pos="-349"/>
        </w:tabs>
        <w:ind w:left="425" w:right="198" w:hanging="425"/>
        <w:jc w:val="both"/>
        <w:rPr>
          <w:rFonts w:ascii="Arial" w:hAnsi="Arial" w:cs="Arial"/>
        </w:rPr>
      </w:pPr>
      <w:r>
        <w:rPr>
          <w:rFonts w:ascii="Arial" w:hAnsi="Arial" w:cs="Arial"/>
        </w:rPr>
        <w:t>Other trend data / information as agreed</w:t>
      </w:r>
    </w:p>
    <w:p w:rsidR="005C42B4" w:rsidRPr="00AD0A99" w:rsidRDefault="005C42B4" w:rsidP="005C42B4">
      <w:pPr>
        <w:ind w:left="720" w:right="198"/>
        <w:jc w:val="both"/>
        <w:rPr>
          <w:rFonts w:ascii="Arial" w:hAnsi="Arial" w:cs="Arial"/>
          <w:b/>
        </w:rPr>
      </w:pPr>
    </w:p>
    <w:p w:rsidR="005C42B4" w:rsidRPr="00AD0A99"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 xml:space="preserve">Confidentiality </w:t>
      </w:r>
    </w:p>
    <w:p w:rsidR="005C42B4" w:rsidRPr="00AD0A99" w:rsidRDefault="005C42B4" w:rsidP="005C42B4">
      <w:pPr>
        <w:spacing w:after="120"/>
        <w:ind w:right="197"/>
        <w:jc w:val="both"/>
        <w:rPr>
          <w:rFonts w:ascii="Arial" w:hAnsi="Arial" w:cs="Arial"/>
        </w:rPr>
      </w:pPr>
      <w:r w:rsidRPr="00AD0A99">
        <w:rPr>
          <w:rFonts w:ascii="Arial" w:hAnsi="Arial" w:cs="Arial"/>
        </w:rPr>
        <w:t>Every member has the right to confidentiality within the meeting. The records of th</w:t>
      </w:r>
      <w:r>
        <w:rPr>
          <w:rFonts w:ascii="Arial" w:hAnsi="Arial" w:cs="Arial"/>
        </w:rPr>
        <w:t>is</w:t>
      </w:r>
      <w:r w:rsidRPr="00AD0A99">
        <w:rPr>
          <w:rFonts w:ascii="Arial" w:hAnsi="Arial" w:cs="Arial"/>
        </w:rPr>
        <w:t xml:space="preserve"> </w:t>
      </w:r>
      <w:r>
        <w:rPr>
          <w:rFonts w:ascii="Arial" w:hAnsi="Arial" w:cs="Arial"/>
        </w:rPr>
        <w:t>Steering</w:t>
      </w:r>
      <w:r w:rsidRPr="00AD0A99">
        <w:rPr>
          <w:rFonts w:ascii="Arial" w:hAnsi="Arial" w:cs="Arial"/>
        </w:rPr>
        <w:t xml:space="preserve"> Group are to be considered confidential unless agreed or stated otherwise.</w:t>
      </w:r>
    </w:p>
    <w:p w:rsidR="005C42B4" w:rsidRPr="00AD0A99" w:rsidRDefault="005C42B4" w:rsidP="005C42B4">
      <w:pPr>
        <w:ind w:right="198"/>
        <w:jc w:val="both"/>
        <w:rPr>
          <w:rFonts w:ascii="Arial" w:hAnsi="Arial" w:cs="Arial"/>
        </w:rPr>
      </w:pPr>
      <w:r w:rsidRPr="00AD0A99">
        <w:rPr>
          <w:rFonts w:ascii="Arial" w:hAnsi="Arial" w:cs="Arial"/>
        </w:rPr>
        <w:lastRenderedPageBreak/>
        <w:t xml:space="preserve">The meeting will determine whether specific information such as tabled reports or preliminary review findings will be treated as confidential or not.  </w:t>
      </w:r>
    </w:p>
    <w:p w:rsidR="005C42B4" w:rsidRDefault="005C42B4" w:rsidP="005C42B4">
      <w:pPr>
        <w:ind w:left="720" w:right="198"/>
        <w:jc w:val="both"/>
        <w:rPr>
          <w:rFonts w:ascii="Arial" w:hAnsi="Arial" w:cs="Arial"/>
          <w:b/>
        </w:rPr>
      </w:pPr>
    </w:p>
    <w:p w:rsidR="005C42B4" w:rsidRPr="00AD0A99" w:rsidRDefault="005C42B4" w:rsidP="005C42B4">
      <w:pPr>
        <w:numPr>
          <w:ilvl w:val="1"/>
          <w:numId w:val="7"/>
        </w:numPr>
        <w:spacing w:after="120"/>
        <w:ind w:left="426" w:right="197" w:hanging="426"/>
        <w:jc w:val="both"/>
        <w:rPr>
          <w:rFonts w:ascii="Arial" w:hAnsi="Arial" w:cs="Arial"/>
          <w:b/>
        </w:rPr>
      </w:pPr>
      <w:r w:rsidRPr="00AD0A99">
        <w:rPr>
          <w:rFonts w:ascii="Arial" w:hAnsi="Arial" w:cs="Arial"/>
          <w:b/>
        </w:rPr>
        <w:t>Conflict of interest</w:t>
      </w:r>
    </w:p>
    <w:p w:rsidR="005C42B4" w:rsidRPr="00AD0A99" w:rsidRDefault="005C42B4" w:rsidP="005C42B4">
      <w:pPr>
        <w:spacing w:after="120"/>
        <w:ind w:right="197"/>
        <w:jc w:val="both"/>
        <w:rPr>
          <w:rFonts w:ascii="Arial" w:hAnsi="Arial" w:cs="Arial"/>
          <w:color w:val="000000"/>
        </w:rPr>
      </w:pPr>
      <w:r w:rsidRPr="00AD0A99">
        <w:rPr>
          <w:rFonts w:ascii="Arial" w:hAnsi="Arial" w:cs="Arial"/>
          <w:color w:val="000000"/>
        </w:rPr>
        <w:t xml:space="preserve">Any member who has any conflict of interest </w:t>
      </w:r>
      <w:r>
        <w:rPr>
          <w:rFonts w:ascii="Arial" w:hAnsi="Arial" w:cs="Arial"/>
          <w:color w:val="000000"/>
        </w:rPr>
        <w:t xml:space="preserve">(perceived or actual) </w:t>
      </w:r>
      <w:r w:rsidRPr="00AD0A99">
        <w:rPr>
          <w:rFonts w:ascii="Arial" w:hAnsi="Arial" w:cs="Arial"/>
          <w:color w:val="000000"/>
        </w:rPr>
        <w:t xml:space="preserve">should as </w:t>
      </w:r>
      <w:r w:rsidRPr="00BC3B5F">
        <w:rPr>
          <w:rFonts w:ascii="Arial" w:hAnsi="Arial" w:cs="Arial"/>
        </w:rPr>
        <w:t>soon</w:t>
      </w:r>
      <w:r w:rsidRPr="00AD0A99">
        <w:rPr>
          <w:rFonts w:ascii="Arial" w:hAnsi="Arial" w:cs="Arial"/>
          <w:color w:val="000000"/>
        </w:rPr>
        <w:t xml:space="preserve"> as practicable declare such interest to the </w:t>
      </w:r>
      <w:r>
        <w:rPr>
          <w:rFonts w:ascii="Arial" w:hAnsi="Arial" w:cs="Arial"/>
          <w:color w:val="000000"/>
        </w:rPr>
        <w:t>Chairperson</w:t>
      </w:r>
      <w:r w:rsidRPr="00AD0A99">
        <w:rPr>
          <w:rFonts w:ascii="Arial" w:hAnsi="Arial" w:cs="Arial"/>
          <w:color w:val="000000"/>
        </w:rPr>
        <w:t xml:space="preserve">. </w:t>
      </w:r>
      <w:r w:rsidRPr="00AD0A99">
        <w:rPr>
          <w:rFonts w:ascii="Arial" w:hAnsi="Arial" w:cs="Arial"/>
        </w:rPr>
        <w:t>If the conflict of interest has significance, the member will:</w:t>
      </w:r>
    </w:p>
    <w:p w:rsidR="005C42B4" w:rsidRPr="00AD0A99" w:rsidRDefault="005C42B4" w:rsidP="005C42B4">
      <w:pPr>
        <w:pStyle w:val="BodyText"/>
        <w:numPr>
          <w:ilvl w:val="0"/>
          <w:numId w:val="3"/>
        </w:numPr>
        <w:tabs>
          <w:tab w:val="clear" w:pos="-349"/>
        </w:tabs>
        <w:spacing w:after="120"/>
        <w:ind w:left="426" w:right="197" w:hanging="426"/>
        <w:jc w:val="both"/>
        <w:rPr>
          <w:rFonts w:ascii="Arial" w:hAnsi="Arial" w:cs="Arial"/>
        </w:rPr>
      </w:pPr>
      <w:r w:rsidRPr="00AD0A99">
        <w:rPr>
          <w:rFonts w:ascii="Arial" w:hAnsi="Arial" w:cs="Arial"/>
        </w:rPr>
        <w:t>not participate in the discussions at the meeting at which the matter is the subject of consideration, or in the  preparation of advice; and/or</w:t>
      </w:r>
    </w:p>
    <w:p w:rsidR="005C42B4" w:rsidRPr="00AD0A99" w:rsidRDefault="005C42B4" w:rsidP="005C42B4">
      <w:pPr>
        <w:pStyle w:val="BodyText"/>
        <w:numPr>
          <w:ilvl w:val="0"/>
          <w:numId w:val="3"/>
        </w:numPr>
        <w:tabs>
          <w:tab w:val="clear" w:pos="-349"/>
        </w:tabs>
        <w:ind w:left="425" w:right="198" w:hanging="425"/>
        <w:jc w:val="both"/>
        <w:rPr>
          <w:rFonts w:ascii="Arial" w:hAnsi="Arial" w:cs="Arial"/>
        </w:rPr>
      </w:pPr>
      <w:proofErr w:type="gramStart"/>
      <w:r w:rsidRPr="00AD0A99">
        <w:rPr>
          <w:rFonts w:ascii="Arial" w:hAnsi="Arial" w:cs="Arial"/>
        </w:rPr>
        <w:t>withdraw</w:t>
      </w:r>
      <w:proofErr w:type="gramEnd"/>
      <w:r w:rsidRPr="00AD0A99">
        <w:rPr>
          <w:rFonts w:ascii="Arial" w:hAnsi="Arial" w:cs="Arial"/>
        </w:rPr>
        <w:t xml:space="preserve"> from the meeting until the relevant matter has been completed. </w:t>
      </w:r>
    </w:p>
    <w:p w:rsidR="005C42B4" w:rsidRPr="00AD0A99" w:rsidRDefault="005C42B4" w:rsidP="005C42B4">
      <w:pPr>
        <w:ind w:left="720" w:right="198"/>
        <w:jc w:val="both"/>
        <w:rPr>
          <w:rFonts w:ascii="Arial" w:hAnsi="Arial" w:cs="Arial"/>
          <w:b/>
        </w:rPr>
      </w:pPr>
    </w:p>
    <w:p w:rsidR="005C42B4" w:rsidRPr="00AD0A99" w:rsidRDefault="005C42B4" w:rsidP="005C42B4">
      <w:pPr>
        <w:ind w:right="197"/>
        <w:jc w:val="both"/>
        <w:rPr>
          <w:rFonts w:ascii="Arial" w:hAnsi="Arial" w:cs="Arial"/>
          <w:b/>
        </w:rPr>
      </w:pPr>
      <w:r w:rsidRPr="00AD0A99">
        <w:rPr>
          <w:rFonts w:ascii="Arial" w:hAnsi="Arial" w:cs="Arial"/>
          <w:b/>
        </w:rPr>
        <w:t>ADOPTION AND AMENDMENT OF TERMS OF REFERENCE</w:t>
      </w:r>
    </w:p>
    <w:p w:rsidR="005C42B4" w:rsidRPr="00025B23" w:rsidRDefault="005C42B4" w:rsidP="005C42B4">
      <w:pPr>
        <w:spacing w:after="120"/>
        <w:ind w:right="197"/>
        <w:jc w:val="both"/>
        <w:rPr>
          <w:rFonts w:ascii="Arial" w:hAnsi="Arial" w:cs="Arial"/>
          <w:color w:val="000000"/>
        </w:rPr>
      </w:pPr>
      <w:r w:rsidRPr="00025B23">
        <w:rPr>
          <w:rFonts w:ascii="Arial" w:hAnsi="Arial" w:cs="Arial"/>
          <w:color w:val="000000"/>
        </w:rPr>
        <w:t>The TOR will be reviewed annually or as required.</w:t>
      </w:r>
    </w:p>
    <w:p w:rsidR="005C42B4" w:rsidRPr="00025B23" w:rsidRDefault="005C42B4" w:rsidP="005C42B4">
      <w:pPr>
        <w:spacing w:after="120"/>
        <w:ind w:right="197"/>
        <w:jc w:val="both"/>
        <w:rPr>
          <w:rFonts w:ascii="Arial" w:hAnsi="Arial" w:cs="Arial"/>
          <w:color w:val="000000"/>
        </w:rPr>
      </w:pPr>
      <w:r w:rsidRPr="00025B23">
        <w:rPr>
          <w:rFonts w:ascii="Arial" w:hAnsi="Arial" w:cs="Arial"/>
          <w:color w:val="000000"/>
        </w:rPr>
        <w:t>These Terms of Reference shall be altered only with the approval of this Steering Group.</w:t>
      </w:r>
    </w:p>
    <w:p w:rsidR="005C42B4" w:rsidRPr="00025B23" w:rsidRDefault="005C42B4" w:rsidP="005C42B4">
      <w:pPr>
        <w:spacing w:after="120"/>
        <w:ind w:right="197"/>
        <w:jc w:val="both"/>
        <w:rPr>
          <w:rFonts w:ascii="Arial" w:hAnsi="Arial" w:cs="Arial"/>
          <w:color w:val="000000"/>
        </w:rPr>
      </w:pPr>
      <w:r w:rsidRPr="00025B23">
        <w:rPr>
          <w:rFonts w:ascii="Arial" w:hAnsi="Arial" w:cs="Arial"/>
          <w:color w:val="000000"/>
        </w:rPr>
        <w:t xml:space="preserve">These Terms of Reference were first endorsed by the Steering Group on: </w:t>
      </w:r>
      <w:r w:rsidRPr="00025B23">
        <w:rPr>
          <w:rFonts w:ascii="Arial" w:hAnsi="Arial" w:cs="Arial"/>
          <w:color w:val="000000"/>
        </w:rPr>
        <w:br/>
        <w:t>27 April 2016.</w:t>
      </w:r>
    </w:p>
    <w:p w:rsidR="005C42B4" w:rsidRPr="00025B23" w:rsidRDefault="005C42B4" w:rsidP="005C42B4">
      <w:pPr>
        <w:spacing w:after="120"/>
        <w:ind w:right="197"/>
        <w:jc w:val="both"/>
        <w:rPr>
          <w:rFonts w:ascii="Arial" w:hAnsi="Arial" w:cs="Arial"/>
          <w:color w:val="000000"/>
        </w:rPr>
      </w:pPr>
      <w:r w:rsidRPr="00025B23">
        <w:rPr>
          <w:rFonts w:ascii="Arial" w:hAnsi="Arial" w:cs="Arial"/>
          <w:color w:val="000000"/>
        </w:rPr>
        <w:t>Subsequent revision dates: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
        <w:gridCol w:w="1962"/>
        <w:gridCol w:w="6237"/>
      </w:tblGrid>
      <w:tr w:rsidR="005C42B4" w:rsidRPr="00AD0A99" w:rsidTr="00543570">
        <w:tc>
          <w:tcPr>
            <w:tcW w:w="448" w:type="dxa"/>
            <w:shd w:val="pct12" w:color="auto" w:fill="FFFFFF"/>
          </w:tcPr>
          <w:p w:rsidR="005C42B4" w:rsidRPr="00AD0A99" w:rsidRDefault="005C42B4" w:rsidP="00543570">
            <w:pPr>
              <w:ind w:left="-540" w:right="197"/>
              <w:jc w:val="both"/>
              <w:rPr>
                <w:rFonts w:ascii="Arial" w:hAnsi="Arial" w:cs="Arial"/>
              </w:rPr>
            </w:pPr>
            <w:r w:rsidRPr="00AD0A99">
              <w:rPr>
                <w:rFonts w:ascii="Arial" w:hAnsi="Arial" w:cs="Arial"/>
              </w:rPr>
              <w:t>No</w:t>
            </w:r>
          </w:p>
        </w:tc>
        <w:tc>
          <w:tcPr>
            <w:tcW w:w="1962" w:type="dxa"/>
            <w:shd w:val="pct12" w:color="auto" w:fill="FFFFFF"/>
          </w:tcPr>
          <w:p w:rsidR="005C42B4" w:rsidRPr="00AD0A99" w:rsidRDefault="005C42B4" w:rsidP="00543570">
            <w:pPr>
              <w:ind w:left="-540" w:right="197"/>
              <w:jc w:val="both"/>
              <w:rPr>
                <w:rFonts w:ascii="Arial" w:hAnsi="Arial" w:cs="Arial"/>
              </w:rPr>
            </w:pPr>
          </w:p>
        </w:tc>
        <w:tc>
          <w:tcPr>
            <w:tcW w:w="6237" w:type="dxa"/>
            <w:shd w:val="pct12" w:color="auto" w:fill="FFFFFF"/>
          </w:tcPr>
          <w:p w:rsidR="005C42B4" w:rsidRPr="00AD0A99" w:rsidRDefault="005C42B4" w:rsidP="00543570">
            <w:pPr>
              <w:ind w:left="-540" w:right="197"/>
              <w:jc w:val="both"/>
              <w:rPr>
                <w:rFonts w:ascii="Arial" w:hAnsi="Arial" w:cs="Arial"/>
              </w:rPr>
            </w:pPr>
          </w:p>
        </w:tc>
      </w:tr>
      <w:tr w:rsidR="005C42B4" w:rsidRPr="00AD0A99" w:rsidTr="00543570">
        <w:tc>
          <w:tcPr>
            <w:tcW w:w="448" w:type="dxa"/>
          </w:tcPr>
          <w:p w:rsidR="005C42B4" w:rsidRPr="00AD0A99" w:rsidRDefault="005C42B4" w:rsidP="00543570">
            <w:pPr>
              <w:ind w:left="-540" w:right="197"/>
              <w:jc w:val="both"/>
              <w:rPr>
                <w:rFonts w:ascii="Arial" w:hAnsi="Arial" w:cs="Arial"/>
              </w:rPr>
            </w:pPr>
          </w:p>
        </w:tc>
        <w:tc>
          <w:tcPr>
            <w:tcW w:w="1962" w:type="dxa"/>
          </w:tcPr>
          <w:p w:rsidR="005C42B4" w:rsidRPr="00AD0A99" w:rsidRDefault="005C42B4" w:rsidP="00543570">
            <w:pPr>
              <w:ind w:left="-540" w:right="197" w:firstLine="540"/>
              <w:rPr>
                <w:rFonts w:ascii="Arial" w:hAnsi="Arial" w:cs="Arial"/>
              </w:rPr>
            </w:pPr>
            <w:r>
              <w:rPr>
                <w:rFonts w:ascii="Arial" w:hAnsi="Arial" w:cs="Arial"/>
              </w:rPr>
              <w:t>4 May 2018</w:t>
            </w:r>
          </w:p>
        </w:tc>
        <w:tc>
          <w:tcPr>
            <w:tcW w:w="6237" w:type="dxa"/>
          </w:tcPr>
          <w:p w:rsidR="005C42B4" w:rsidRPr="00AD0A99" w:rsidRDefault="005C42B4" w:rsidP="00543570">
            <w:pPr>
              <w:ind w:left="142" w:right="197"/>
              <w:jc w:val="both"/>
              <w:rPr>
                <w:rFonts w:ascii="Arial" w:hAnsi="Arial" w:cs="Arial"/>
              </w:rPr>
            </w:pPr>
            <w:r>
              <w:rPr>
                <w:rFonts w:ascii="Arial" w:hAnsi="Arial" w:cs="Arial"/>
              </w:rPr>
              <w:t>New Health Service Provider members added; other member roles amended</w:t>
            </w:r>
          </w:p>
        </w:tc>
      </w:tr>
      <w:tr w:rsidR="005C42B4" w:rsidRPr="00AD0A99" w:rsidTr="00543570">
        <w:tc>
          <w:tcPr>
            <w:tcW w:w="448" w:type="dxa"/>
          </w:tcPr>
          <w:p w:rsidR="005C42B4" w:rsidRPr="00AD0A99" w:rsidRDefault="005C42B4" w:rsidP="00543570">
            <w:pPr>
              <w:ind w:left="-540" w:right="197"/>
              <w:jc w:val="both"/>
              <w:rPr>
                <w:rFonts w:ascii="Arial" w:hAnsi="Arial" w:cs="Arial"/>
              </w:rPr>
            </w:pPr>
          </w:p>
        </w:tc>
        <w:tc>
          <w:tcPr>
            <w:tcW w:w="1962" w:type="dxa"/>
          </w:tcPr>
          <w:p w:rsidR="005C42B4" w:rsidRDefault="005C42B4" w:rsidP="00543570">
            <w:pPr>
              <w:ind w:left="-540" w:right="197" w:firstLine="540"/>
              <w:rPr>
                <w:rFonts w:ascii="Arial" w:hAnsi="Arial" w:cs="Arial"/>
              </w:rPr>
            </w:pPr>
            <w:r>
              <w:rPr>
                <w:rFonts w:ascii="Arial" w:hAnsi="Arial" w:cs="Arial"/>
              </w:rPr>
              <w:t>26 June 2018</w:t>
            </w:r>
          </w:p>
        </w:tc>
        <w:tc>
          <w:tcPr>
            <w:tcW w:w="6237" w:type="dxa"/>
          </w:tcPr>
          <w:p w:rsidR="005C42B4" w:rsidRDefault="005C42B4" w:rsidP="00543570">
            <w:pPr>
              <w:ind w:left="142" w:right="197"/>
              <w:jc w:val="both"/>
              <w:rPr>
                <w:rFonts w:ascii="Arial" w:hAnsi="Arial" w:cs="Arial"/>
              </w:rPr>
            </w:pPr>
            <w:r>
              <w:rPr>
                <w:rFonts w:ascii="Arial" w:hAnsi="Arial" w:cs="Arial"/>
              </w:rPr>
              <w:t xml:space="preserve">Update of Purpose, Accountability, Functions and Responsibilities based on meeting minutes from </w:t>
            </w:r>
            <w:r>
              <w:rPr>
                <w:rFonts w:ascii="Arial" w:hAnsi="Arial" w:cs="Arial"/>
              </w:rPr>
              <w:br/>
              <w:t>29 May and 26 June 2018</w:t>
            </w:r>
          </w:p>
        </w:tc>
      </w:tr>
    </w:tbl>
    <w:p w:rsidR="005C42B4" w:rsidRPr="00AD0A99" w:rsidRDefault="005C42B4" w:rsidP="005C42B4">
      <w:pPr>
        <w:ind w:left="-540" w:right="197"/>
        <w:jc w:val="both"/>
        <w:rPr>
          <w:rFonts w:ascii="Arial" w:hAnsi="Arial" w:cs="Arial"/>
        </w:rPr>
      </w:pPr>
    </w:p>
    <w:p w:rsidR="005C42B4" w:rsidRPr="00AD0A99" w:rsidRDefault="005C42B4" w:rsidP="005C42B4">
      <w:pPr>
        <w:ind w:right="197"/>
        <w:rPr>
          <w:rFonts w:ascii="Arial" w:hAnsi="Arial" w:cs="Arial"/>
        </w:rPr>
      </w:pPr>
    </w:p>
    <w:p w:rsidR="004C2780" w:rsidRPr="005C42B4" w:rsidRDefault="004C2780" w:rsidP="005C42B4"/>
    <w:sectPr w:rsidR="004C2780" w:rsidRPr="005C42B4" w:rsidSect="00BF2A1B">
      <w:headerReference w:type="default" r:id="rId9"/>
      <w:footerReference w:type="default" r:id="rId10"/>
      <w:pgSz w:w="11906" w:h="16838"/>
      <w:pgMar w:top="1135" w:right="1644" w:bottom="993" w:left="1701" w:header="709"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43" w:rsidRDefault="00166643" w:rsidP="009F64C5">
      <w:r>
        <w:separator/>
      </w:r>
    </w:p>
  </w:endnote>
  <w:endnote w:type="continuationSeparator" w:id="0">
    <w:p w:rsidR="00166643" w:rsidRDefault="00166643" w:rsidP="009F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E4" w:rsidRPr="00FA74E4" w:rsidRDefault="000D0C7C">
    <w:pPr>
      <w:pStyle w:val="Footer"/>
      <w:rPr>
        <w:rFonts w:ascii="Arial" w:hAnsi="Arial" w:cs="Arial"/>
        <w:sz w:val="20"/>
        <w:szCs w:val="20"/>
      </w:rPr>
    </w:pPr>
    <w:r>
      <w:rPr>
        <w:rFonts w:ascii="Arial" w:hAnsi="Arial" w:cs="Arial"/>
        <w:sz w:val="20"/>
        <w:szCs w:val="20"/>
      </w:rPr>
      <w:t>MHC2018/48864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43" w:rsidRDefault="00166643" w:rsidP="009F64C5">
      <w:r>
        <w:separator/>
      </w:r>
    </w:p>
  </w:footnote>
  <w:footnote w:type="continuationSeparator" w:id="0">
    <w:p w:rsidR="00166643" w:rsidRDefault="00166643" w:rsidP="009F64C5">
      <w:r>
        <w:continuationSeparator/>
      </w:r>
    </w:p>
  </w:footnote>
  <w:footnote w:id="1">
    <w:p w:rsidR="005C42B4" w:rsidRDefault="005C42B4" w:rsidP="005C42B4">
      <w:pPr>
        <w:pStyle w:val="FootnoteText"/>
      </w:pPr>
      <w:r>
        <w:rPr>
          <w:rStyle w:val="FootnoteReference"/>
        </w:rPr>
        <w:footnoteRef/>
      </w:r>
      <w:r>
        <w:t xml:space="preserve"> I</w:t>
      </w:r>
      <w:r>
        <w:rPr>
          <w:rFonts w:ascii="Arial" w:hAnsi="Arial" w:cs="Arial"/>
        </w:rPr>
        <w:t xml:space="preserve">ncluding the National Standards for Mental Health Services (2010), OCP Standards and the </w:t>
      </w:r>
      <w:r>
        <w:rPr>
          <w:rFonts w:ascii="Arial" w:hAnsi="Arial" w:cs="Arial"/>
          <w:szCs w:val="24"/>
        </w:rPr>
        <w:t>National Safety and Quality Health Service Standards 2</w:t>
      </w:r>
      <w:r w:rsidRPr="00115F55">
        <w:rPr>
          <w:rFonts w:ascii="Arial" w:hAnsi="Arial" w:cs="Arial"/>
          <w:szCs w:val="24"/>
          <w:vertAlign w:val="superscript"/>
        </w:rPr>
        <w:t>nd</w:t>
      </w:r>
      <w:r>
        <w:rPr>
          <w:rFonts w:ascii="Arial" w:hAnsi="Arial" w:cs="Arial"/>
          <w:szCs w:val="24"/>
        </w:rPr>
        <w:t xml:space="preserve"> Edition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97" w:rsidRPr="007E097C" w:rsidRDefault="00AD0441">
    <w:pPr>
      <w:pStyle w:val="Header"/>
      <w:rPr>
        <w:rFonts w:ascii="Arial" w:hAnsi="Arial" w:cs="Arial"/>
        <w:b/>
        <w:i/>
      </w:rPr>
    </w:pPr>
    <w:r>
      <w:rPr>
        <w:rFonts w:ascii="Arial" w:hAnsi="Arial" w:cs="Arial"/>
        <w:b/>
        <w:i/>
      </w:rPr>
      <w:tab/>
    </w:r>
    <w:r>
      <w:rPr>
        <w:rFonts w:ascii="Arial" w:hAnsi="Arial" w:cs="Arial"/>
        <w:b/>
        <w:i/>
      </w:rPr>
      <w:tab/>
    </w:r>
  </w:p>
  <w:p w:rsidR="009506EA" w:rsidRPr="009C7DF6" w:rsidRDefault="000D0C7C" w:rsidP="00B07356">
    <w:pPr>
      <w:pStyle w:val="Header"/>
      <w:rPr>
        <w:rFonts w:ascii="Arial" w:hAnsi="Arial" w:cs="Arial"/>
        <w:b/>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787A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473986"/>
    <w:multiLevelType w:val="hybridMultilevel"/>
    <w:tmpl w:val="1C1A6940"/>
    <w:lvl w:ilvl="0" w:tplc="04090001">
      <w:start w:val="1"/>
      <w:numFmt w:val="bullet"/>
      <w:lvlText w:val=""/>
      <w:lvlJc w:val="left"/>
      <w:pPr>
        <w:tabs>
          <w:tab w:val="num" w:pos="-349"/>
        </w:tabs>
        <w:ind w:left="-349" w:hanging="360"/>
      </w:pPr>
      <w:rPr>
        <w:rFonts w:ascii="Symbol" w:hAnsi="Symbol" w:hint="default"/>
      </w:rPr>
    </w:lvl>
    <w:lvl w:ilvl="1" w:tplc="0C090003" w:tentative="1">
      <w:start w:val="1"/>
      <w:numFmt w:val="bullet"/>
      <w:lvlText w:val="o"/>
      <w:lvlJc w:val="left"/>
      <w:pPr>
        <w:tabs>
          <w:tab w:val="num" w:pos="371"/>
        </w:tabs>
        <w:ind w:left="371" w:hanging="360"/>
      </w:pPr>
      <w:rPr>
        <w:rFonts w:ascii="Courier New" w:hAnsi="Courier New" w:cs="Courier New" w:hint="default"/>
      </w:rPr>
    </w:lvl>
    <w:lvl w:ilvl="2" w:tplc="0C090005" w:tentative="1">
      <w:start w:val="1"/>
      <w:numFmt w:val="bullet"/>
      <w:lvlText w:val=""/>
      <w:lvlJc w:val="left"/>
      <w:pPr>
        <w:tabs>
          <w:tab w:val="num" w:pos="1091"/>
        </w:tabs>
        <w:ind w:left="1091" w:hanging="360"/>
      </w:pPr>
      <w:rPr>
        <w:rFonts w:ascii="Wingdings" w:hAnsi="Wingdings" w:hint="default"/>
      </w:rPr>
    </w:lvl>
    <w:lvl w:ilvl="3" w:tplc="0C090001" w:tentative="1">
      <w:start w:val="1"/>
      <w:numFmt w:val="bullet"/>
      <w:lvlText w:val=""/>
      <w:lvlJc w:val="left"/>
      <w:pPr>
        <w:tabs>
          <w:tab w:val="num" w:pos="1811"/>
        </w:tabs>
        <w:ind w:left="1811" w:hanging="360"/>
      </w:pPr>
      <w:rPr>
        <w:rFonts w:ascii="Symbol" w:hAnsi="Symbol" w:hint="default"/>
      </w:rPr>
    </w:lvl>
    <w:lvl w:ilvl="4" w:tplc="0C090003" w:tentative="1">
      <w:start w:val="1"/>
      <w:numFmt w:val="bullet"/>
      <w:lvlText w:val="o"/>
      <w:lvlJc w:val="left"/>
      <w:pPr>
        <w:tabs>
          <w:tab w:val="num" w:pos="2531"/>
        </w:tabs>
        <w:ind w:left="2531" w:hanging="360"/>
      </w:pPr>
      <w:rPr>
        <w:rFonts w:ascii="Courier New" w:hAnsi="Courier New" w:cs="Courier New" w:hint="default"/>
      </w:rPr>
    </w:lvl>
    <w:lvl w:ilvl="5" w:tplc="0C090005" w:tentative="1">
      <w:start w:val="1"/>
      <w:numFmt w:val="bullet"/>
      <w:lvlText w:val=""/>
      <w:lvlJc w:val="left"/>
      <w:pPr>
        <w:tabs>
          <w:tab w:val="num" w:pos="3251"/>
        </w:tabs>
        <w:ind w:left="3251" w:hanging="360"/>
      </w:pPr>
      <w:rPr>
        <w:rFonts w:ascii="Wingdings" w:hAnsi="Wingdings" w:hint="default"/>
      </w:rPr>
    </w:lvl>
    <w:lvl w:ilvl="6" w:tplc="0C090001" w:tentative="1">
      <w:start w:val="1"/>
      <w:numFmt w:val="bullet"/>
      <w:lvlText w:val=""/>
      <w:lvlJc w:val="left"/>
      <w:pPr>
        <w:tabs>
          <w:tab w:val="num" w:pos="3971"/>
        </w:tabs>
        <w:ind w:left="3971" w:hanging="360"/>
      </w:pPr>
      <w:rPr>
        <w:rFonts w:ascii="Symbol" w:hAnsi="Symbol" w:hint="default"/>
      </w:rPr>
    </w:lvl>
    <w:lvl w:ilvl="7" w:tplc="0C090003" w:tentative="1">
      <w:start w:val="1"/>
      <w:numFmt w:val="bullet"/>
      <w:lvlText w:val="o"/>
      <w:lvlJc w:val="left"/>
      <w:pPr>
        <w:tabs>
          <w:tab w:val="num" w:pos="4691"/>
        </w:tabs>
        <w:ind w:left="4691" w:hanging="360"/>
      </w:pPr>
      <w:rPr>
        <w:rFonts w:ascii="Courier New" w:hAnsi="Courier New" w:cs="Courier New" w:hint="default"/>
      </w:rPr>
    </w:lvl>
    <w:lvl w:ilvl="8" w:tplc="0C090005" w:tentative="1">
      <w:start w:val="1"/>
      <w:numFmt w:val="bullet"/>
      <w:lvlText w:val=""/>
      <w:lvlJc w:val="left"/>
      <w:pPr>
        <w:tabs>
          <w:tab w:val="num" w:pos="5411"/>
        </w:tabs>
        <w:ind w:left="5411" w:hanging="360"/>
      </w:pPr>
      <w:rPr>
        <w:rFonts w:ascii="Wingdings" w:hAnsi="Wingdings" w:hint="default"/>
      </w:rPr>
    </w:lvl>
  </w:abstractNum>
  <w:abstractNum w:abstractNumId="2">
    <w:nsid w:val="273B2A6F"/>
    <w:multiLevelType w:val="multilevel"/>
    <w:tmpl w:val="64209B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1152829"/>
    <w:multiLevelType w:val="hybridMultilevel"/>
    <w:tmpl w:val="5DB66E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CF53600"/>
    <w:multiLevelType w:val="hybridMultilevel"/>
    <w:tmpl w:val="A8123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6137B7A"/>
    <w:multiLevelType w:val="hybridMultilevel"/>
    <w:tmpl w:val="CEF40C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D80B66"/>
    <w:multiLevelType w:val="hybridMultilevel"/>
    <w:tmpl w:val="FFBA1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6110DA"/>
    <w:multiLevelType w:val="hybridMultilevel"/>
    <w:tmpl w:val="61FC5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2"/>
  </w:num>
  <w:num w:numId="8">
    <w:abstractNumId w:val="5"/>
  </w:num>
  <w:num w:numId="9">
    <w:abstractNumId w:val="8"/>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C5"/>
    <w:rsid w:val="000128E7"/>
    <w:rsid w:val="00013954"/>
    <w:rsid w:val="000341E8"/>
    <w:rsid w:val="00054B7F"/>
    <w:rsid w:val="0009029A"/>
    <w:rsid w:val="000D0C7C"/>
    <w:rsid w:val="00105E44"/>
    <w:rsid w:val="00115F55"/>
    <w:rsid w:val="001437E0"/>
    <w:rsid w:val="00155199"/>
    <w:rsid w:val="0015530B"/>
    <w:rsid w:val="00166643"/>
    <w:rsid w:val="00171B7B"/>
    <w:rsid w:val="001C7D1F"/>
    <w:rsid w:val="001F6030"/>
    <w:rsid w:val="001F68E9"/>
    <w:rsid w:val="00207C5A"/>
    <w:rsid w:val="00220E8F"/>
    <w:rsid w:val="0022224B"/>
    <w:rsid w:val="0022531B"/>
    <w:rsid w:val="00245E40"/>
    <w:rsid w:val="002576B1"/>
    <w:rsid w:val="0028028F"/>
    <w:rsid w:val="0028543B"/>
    <w:rsid w:val="002C7D7D"/>
    <w:rsid w:val="00355004"/>
    <w:rsid w:val="00383F99"/>
    <w:rsid w:val="003929E7"/>
    <w:rsid w:val="003F1D67"/>
    <w:rsid w:val="00402A8D"/>
    <w:rsid w:val="00431B82"/>
    <w:rsid w:val="00446ADC"/>
    <w:rsid w:val="00466DB9"/>
    <w:rsid w:val="00471692"/>
    <w:rsid w:val="00476534"/>
    <w:rsid w:val="004A609E"/>
    <w:rsid w:val="004C2780"/>
    <w:rsid w:val="004C6976"/>
    <w:rsid w:val="004F4816"/>
    <w:rsid w:val="0052354F"/>
    <w:rsid w:val="00554D34"/>
    <w:rsid w:val="0056716B"/>
    <w:rsid w:val="005A409E"/>
    <w:rsid w:val="005C42B4"/>
    <w:rsid w:val="006B2FC5"/>
    <w:rsid w:val="006D7C8D"/>
    <w:rsid w:val="006F52D0"/>
    <w:rsid w:val="0077027C"/>
    <w:rsid w:val="007D793C"/>
    <w:rsid w:val="00817268"/>
    <w:rsid w:val="00881846"/>
    <w:rsid w:val="00897837"/>
    <w:rsid w:val="008F74D6"/>
    <w:rsid w:val="008F7FE4"/>
    <w:rsid w:val="00900F1B"/>
    <w:rsid w:val="00930DF8"/>
    <w:rsid w:val="00955935"/>
    <w:rsid w:val="009668ED"/>
    <w:rsid w:val="00981DA1"/>
    <w:rsid w:val="00990D6C"/>
    <w:rsid w:val="009F64C5"/>
    <w:rsid w:val="00A91C4C"/>
    <w:rsid w:val="00AA68AB"/>
    <w:rsid w:val="00AB4CA3"/>
    <w:rsid w:val="00AD0441"/>
    <w:rsid w:val="00B04508"/>
    <w:rsid w:val="00B417C3"/>
    <w:rsid w:val="00B649ED"/>
    <w:rsid w:val="00BB053F"/>
    <w:rsid w:val="00BB0E8A"/>
    <w:rsid w:val="00BB5682"/>
    <w:rsid w:val="00BD41EB"/>
    <w:rsid w:val="00BE3C2D"/>
    <w:rsid w:val="00BF26D6"/>
    <w:rsid w:val="00BF2A1B"/>
    <w:rsid w:val="00C0063C"/>
    <w:rsid w:val="00C51410"/>
    <w:rsid w:val="00C7143D"/>
    <w:rsid w:val="00C75850"/>
    <w:rsid w:val="00CF64E2"/>
    <w:rsid w:val="00D14052"/>
    <w:rsid w:val="00D147D4"/>
    <w:rsid w:val="00D2533C"/>
    <w:rsid w:val="00D92096"/>
    <w:rsid w:val="00D9301F"/>
    <w:rsid w:val="00DE4BFE"/>
    <w:rsid w:val="00E40563"/>
    <w:rsid w:val="00E47483"/>
    <w:rsid w:val="00E733A1"/>
    <w:rsid w:val="00EA1F43"/>
    <w:rsid w:val="00ED66D4"/>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uiPriority="10" w:qFormat="1"/>
    <w:lsdException w:name="Default Paragraph Font" w:uiPriority="1" w:unhideWhenUsed="1"/>
    <w:lsdException w:name="Body Text" w:uiPriority="0"/>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F64C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7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9F64C5"/>
    <w:pPr>
      <w:numPr>
        <w:numId w:val="2"/>
      </w:numPr>
    </w:pPr>
    <w:rPr>
      <w:rFonts w:ascii="Trebuchet MS" w:eastAsia="Times" w:hAnsi="Trebuchet MS"/>
      <w:szCs w:val="20"/>
    </w:rPr>
  </w:style>
  <w:style w:type="paragraph" w:styleId="BodyText">
    <w:name w:val="Body Text"/>
    <w:basedOn w:val="Normal"/>
    <w:next w:val="Normal"/>
    <w:link w:val="BodyTextChar"/>
    <w:rsid w:val="009F64C5"/>
    <w:pPr>
      <w:autoSpaceDE w:val="0"/>
      <w:autoSpaceDN w:val="0"/>
      <w:adjustRightInd w:val="0"/>
    </w:pPr>
  </w:style>
  <w:style w:type="character" w:customStyle="1" w:styleId="BodyTextChar">
    <w:name w:val="Body Text Char"/>
    <w:basedOn w:val="DefaultParagraphFont"/>
    <w:link w:val="BodyText"/>
    <w:rsid w:val="009F64C5"/>
    <w:rPr>
      <w:rFonts w:ascii="Times New Roman" w:eastAsia="Times New Roman" w:hAnsi="Times New Roman" w:cs="Times New Roman"/>
      <w:sz w:val="24"/>
      <w:szCs w:val="24"/>
      <w:lang w:eastAsia="en-AU"/>
    </w:rPr>
  </w:style>
  <w:style w:type="paragraph" w:customStyle="1" w:styleId="NormalB">
    <w:name w:val="Normal B"/>
    <w:basedOn w:val="Normal"/>
    <w:rsid w:val="009F64C5"/>
    <w:pPr>
      <w:jc w:val="both"/>
    </w:pPr>
    <w:rPr>
      <w:rFonts w:ascii="Tahoma" w:hAnsi="Tahoma"/>
      <w:b/>
      <w:sz w:val="22"/>
      <w:lang w:eastAsia="en-US"/>
    </w:rPr>
  </w:style>
  <w:style w:type="paragraph" w:styleId="Header">
    <w:name w:val="header"/>
    <w:basedOn w:val="Normal"/>
    <w:link w:val="HeaderChar"/>
    <w:uiPriority w:val="99"/>
    <w:rsid w:val="009F64C5"/>
    <w:pPr>
      <w:tabs>
        <w:tab w:val="center" w:pos="4153"/>
        <w:tab w:val="right" w:pos="8306"/>
      </w:tabs>
    </w:pPr>
  </w:style>
  <w:style w:type="character" w:customStyle="1" w:styleId="HeaderChar">
    <w:name w:val="Header Char"/>
    <w:basedOn w:val="DefaultParagraphFont"/>
    <w:link w:val="Header"/>
    <w:uiPriority w:val="99"/>
    <w:rsid w:val="009F64C5"/>
    <w:rPr>
      <w:rFonts w:ascii="Times New Roman" w:eastAsia="Times New Roman" w:hAnsi="Times New Roman" w:cs="Times New Roman"/>
      <w:sz w:val="24"/>
      <w:szCs w:val="24"/>
      <w:lang w:eastAsia="en-AU"/>
    </w:rPr>
  </w:style>
  <w:style w:type="paragraph" w:styleId="Footer">
    <w:name w:val="footer"/>
    <w:basedOn w:val="Normal"/>
    <w:link w:val="FooterChar"/>
    <w:rsid w:val="009F64C5"/>
    <w:pPr>
      <w:tabs>
        <w:tab w:val="center" w:pos="4153"/>
        <w:tab w:val="right" w:pos="8306"/>
      </w:tabs>
    </w:pPr>
  </w:style>
  <w:style w:type="character" w:customStyle="1" w:styleId="FooterChar">
    <w:name w:val="Footer Char"/>
    <w:basedOn w:val="DefaultParagraphFont"/>
    <w:link w:val="Footer"/>
    <w:rsid w:val="009F64C5"/>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9F64C5"/>
    <w:rPr>
      <w:sz w:val="20"/>
      <w:szCs w:val="20"/>
    </w:rPr>
  </w:style>
  <w:style w:type="character" w:customStyle="1" w:styleId="FootnoteTextChar">
    <w:name w:val="Footnote Text Char"/>
    <w:basedOn w:val="DefaultParagraphFont"/>
    <w:link w:val="FootnoteText"/>
    <w:rsid w:val="009F64C5"/>
    <w:rPr>
      <w:rFonts w:ascii="Times New Roman" w:eastAsia="Times New Roman" w:hAnsi="Times New Roman" w:cs="Times New Roman"/>
      <w:sz w:val="20"/>
      <w:szCs w:val="20"/>
      <w:lang w:eastAsia="en-AU"/>
    </w:rPr>
  </w:style>
  <w:style w:type="character" w:styleId="FootnoteReference">
    <w:name w:val="footnote reference"/>
    <w:rsid w:val="009F64C5"/>
    <w:rPr>
      <w:vertAlign w:val="superscript"/>
    </w:rPr>
  </w:style>
  <w:style w:type="character" w:styleId="CommentReference">
    <w:name w:val="annotation reference"/>
    <w:basedOn w:val="DefaultParagraphFont"/>
    <w:uiPriority w:val="99"/>
    <w:semiHidden/>
    <w:rsid w:val="00245E40"/>
    <w:rPr>
      <w:sz w:val="16"/>
      <w:szCs w:val="16"/>
    </w:rPr>
  </w:style>
  <w:style w:type="paragraph" w:styleId="CommentText">
    <w:name w:val="annotation text"/>
    <w:basedOn w:val="Normal"/>
    <w:link w:val="CommentTextChar"/>
    <w:uiPriority w:val="99"/>
    <w:semiHidden/>
    <w:rsid w:val="00245E40"/>
    <w:rPr>
      <w:sz w:val="20"/>
      <w:szCs w:val="20"/>
    </w:rPr>
  </w:style>
  <w:style w:type="character" w:customStyle="1" w:styleId="CommentTextChar">
    <w:name w:val="Comment Text Char"/>
    <w:basedOn w:val="DefaultParagraphFont"/>
    <w:link w:val="CommentText"/>
    <w:uiPriority w:val="99"/>
    <w:semiHidden/>
    <w:rsid w:val="00245E4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245E40"/>
    <w:rPr>
      <w:b/>
      <w:bCs/>
    </w:rPr>
  </w:style>
  <w:style w:type="character" w:customStyle="1" w:styleId="CommentSubjectChar">
    <w:name w:val="Comment Subject Char"/>
    <w:basedOn w:val="CommentTextChar"/>
    <w:link w:val="CommentSubject"/>
    <w:uiPriority w:val="99"/>
    <w:semiHidden/>
    <w:rsid w:val="00245E40"/>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uiPriority="10" w:qFormat="1"/>
    <w:lsdException w:name="Default Paragraph Font" w:uiPriority="1" w:unhideWhenUsed="1"/>
    <w:lsdException w:name="Body Text" w:uiPriority="0"/>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F64C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7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9F64C5"/>
    <w:pPr>
      <w:numPr>
        <w:numId w:val="2"/>
      </w:numPr>
    </w:pPr>
    <w:rPr>
      <w:rFonts w:ascii="Trebuchet MS" w:eastAsia="Times" w:hAnsi="Trebuchet MS"/>
      <w:szCs w:val="20"/>
    </w:rPr>
  </w:style>
  <w:style w:type="paragraph" w:styleId="BodyText">
    <w:name w:val="Body Text"/>
    <w:basedOn w:val="Normal"/>
    <w:next w:val="Normal"/>
    <w:link w:val="BodyTextChar"/>
    <w:rsid w:val="009F64C5"/>
    <w:pPr>
      <w:autoSpaceDE w:val="0"/>
      <w:autoSpaceDN w:val="0"/>
      <w:adjustRightInd w:val="0"/>
    </w:pPr>
  </w:style>
  <w:style w:type="character" w:customStyle="1" w:styleId="BodyTextChar">
    <w:name w:val="Body Text Char"/>
    <w:basedOn w:val="DefaultParagraphFont"/>
    <w:link w:val="BodyText"/>
    <w:rsid w:val="009F64C5"/>
    <w:rPr>
      <w:rFonts w:ascii="Times New Roman" w:eastAsia="Times New Roman" w:hAnsi="Times New Roman" w:cs="Times New Roman"/>
      <w:sz w:val="24"/>
      <w:szCs w:val="24"/>
      <w:lang w:eastAsia="en-AU"/>
    </w:rPr>
  </w:style>
  <w:style w:type="paragraph" w:customStyle="1" w:styleId="NormalB">
    <w:name w:val="Normal B"/>
    <w:basedOn w:val="Normal"/>
    <w:rsid w:val="009F64C5"/>
    <w:pPr>
      <w:jc w:val="both"/>
    </w:pPr>
    <w:rPr>
      <w:rFonts w:ascii="Tahoma" w:hAnsi="Tahoma"/>
      <w:b/>
      <w:sz w:val="22"/>
      <w:lang w:eastAsia="en-US"/>
    </w:rPr>
  </w:style>
  <w:style w:type="paragraph" w:styleId="Header">
    <w:name w:val="header"/>
    <w:basedOn w:val="Normal"/>
    <w:link w:val="HeaderChar"/>
    <w:uiPriority w:val="99"/>
    <w:rsid w:val="009F64C5"/>
    <w:pPr>
      <w:tabs>
        <w:tab w:val="center" w:pos="4153"/>
        <w:tab w:val="right" w:pos="8306"/>
      </w:tabs>
    </w:pPr>
  </w:style>
  <w:style w:type="character" w:customStyle="1" w:styleId="HeaderChar">
    <w:name w:val="Header Char"/>
    <w:basedOn w:val="DefaultParagraphFont"/>
    <w:link w:val="Header"/>
    <w:uiPriority w:val="99"/>
    <w:rsid w:val="009F64C5"/>
    <w:rPr>
      <w:rFonts w:ascii="Times New Roman" w:eastAsia="Times New Roman" w:hAnsi="Times New Roman" w:cs="Times New Roman"/>
      <w:sz w:val="24"/>
      <w:szCs w:val="24"/>
      <w:lang w:eastAsia="en-AU"/>
    </w:rPr>
  </w:style>
  <w:style w:type="paragraph" w:styleId="Footer">
    <w:name w:val="footer"/>
    <w:basedOn w:val="Normal"/>
    <w:link w:val="FooterChar"/>
    <w:rsid w:val="009F64C5"/>
    <w:pPr>
      <w:tabs>
        <w:tab w:val="center" w:pos="4153"/>
        <w:tab w:val="right" w:pos="8306"/>
      </w:tabs>
    </w:pPr>
  </w:style>
  <w:style w:type="character" w:customStyle="1" w:styleId="FooterChar">
    <w:name w:val="Footer Char"/>
    <w:basedOn w:val="DefaultParagraphFont"/>
    <w:link w:val="Footer"/>
    <w:rsid w:val="009F64C5"/>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9F64C5"/>
    <w:rPr>
      <w:sz w:val="20"/>
      <w:szCs w:val="20"/>
    </w:rPr>
  </w:style>
  <w:style w:type="character" w:customStyle="1" w:styleId="FootnoteTextChar">
    <w:name w:val="Footnote Text Char"/>
    <w:basedOn w:val="DefaultParagraphFont"/>
    <w:link w:val="FootnoteText"/>
    <w:rsid w:val="009F64C5"/>
    <w:rPr>
      <w:rFonts w:ascii="Times New Roman" w:eastAsia="Times New Roman" w:hAnsi="Times New Roman" w:cs="Times New Roman"/>
      <w:sz w:val="20"/>
      <w:szCs w:val="20"/>
      <w:lang w:eastAsia="en-AU"/>
    </w:rPr>
  </w:style>
  <w:style w:type="character" w:styleId="FootnoteReference">
    <w:name w:val="footnote reference"/>
    <w:rsid w:val="009F64C5"/>
    <w:rPr>
      <w:vertAlign w:val="superscript"/>
    </w:rPr>
  </w:style>
  <w:style w:type="character" w:styleId="CommentReference">
    <w:name w:val="annotation reference"/>
    <w:basedOn w:val="DefaultParagraphFont"/>
    <w:uiPriority w:val="99"/>
    <w:semiHidden/>
    <w:rsid w:val="00245E40"/>
    <w:rPr>
      <w:sz w:val="16"/>
      <w:szCs w:val="16"/>
    </w:rPr>
  </w:style>
  <w:style w:type="paragraph" w:styleId="CommentText">
    <w:name w:val="annotation text"/>
    <w:basedOn w:val="Normal"/>
    <w:link w:val="CommentTextChar"/>
    <w:uiPriority w:val="99"/>
    <w:semiHidden/>
    <w:rsid w:val="00245E40"/>
    <w:rPr>
      <w:sz w:val="20"/>
      <w:szCs w:val="20"/>
    </w:rPr>
  </w:style>
  <w:style w:type="character" w:customStyle="1" w:styleId="CommentTextChar">
    <w:name w:val="Comment Text Char"/>
    <w:basedOn w:val="DefaultParagraphFont"/>
    <w:link w:val="CommentText"/>
    <w:uiPriority w:val="99"/>
    <w:semiHidden/>
    <w:rsid w:val="00245E4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245E40"/>
    <w:rPr>
      <w:b/>
      <w:bCs/>
    </w:rPr>
  </w:style>
  <w:style w:type="character" w:customStyle="1" w:styleId="CommentSubjectChar">
    <w:name w:val="Comment Subject Char"/>
    <w:basedOn w:val="CommentTextChar"/>
    <w:link w:val="CommentSubject"/>
    <w:uiPriority w:val="99"/>
    <w:semiHidden/>
    <w:rsid w:val="00245E40"/>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97E4-9746-4D37-9D15-1040D71F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Cefalo, Louise</dc:creator>
  <cp:lastModifiedBy>Cefalo, Louise</cp:lastModifiedBy>
  <cp:revision>3</cp:revision>
  <dcterms:created xsi:type="dcterms:W3CDTF">2018-07-11T01:03:00Z</dcterms:created>
  <dcterms:modified xsi:type="dcterms:W3CDTF">2018-07-11T01:06:00Z</dcterms:modified>
</cp:coreProperties>
</file>